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B8A05" w14:textId="77777777" w:rsidR="00E41D29" w:rsidRPr="00627208" w:rsidRDefault="00E41D29" w:rsidP="00E41D29">
      <w:pPr>
        <w:rPr>
          <w:b/>
          <w:sz w:val="2"/>
          <w:szCs w:val="2"/>
        </w:rPr>
      </w:pPr>
      <w:bookmarkStart w:id="0" w:name="_GoBack"/>
      <w:bookmarkEnd w:id="0"/>
    </w:p>
    <w:tbl>
      <w:tblPr>
        <w:tblW w:w="9585" w:type="dxa"/>
        <w:tblBorders>
          <w:top w:val="single" w:sz="6" w:space="0" w:color="auto"/>
          <w:left w:val="single" w:sz="6" w:space="0" w:color="auto"/>
          <w:bottom w:val="single" w:sz="6" w:space="0" w:color="auto"/>
          <w:right w:val="single" w:sz="6" w:space="0" w:color="auto"/>
          <w:insideH w:val="single" w:sz="6" w:space="0" w:color="auto"/>
          <w:insideV w:val="single" w:sz="6" w:space="0" w:color="0000FF"/>
        </w:tblBorders>
        <w:tblLayout w:type="fixed"/>
        <w:tblLook w:val="04A0" w:firstRow="1" w:lastRow="0" w:firstColumn="1" w:lastColumn="0" w:noHBand="0" w:noVBand="1"/>
      </w:tblPr>
      <w:tblGrid>
        <w:gridCol w:w="4793"/>
        <w:gridCol w:w="4792"/>
      </w:tblGrid>
      <w:tr w:rsidR="00627208" w:rsidRPr="008849A9" w14:paraId="487326AA" w14:textId="77777777" w:rsidTr="00941997">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061AAD33" w14:textId="77777777" w:rsidR="00627208" w:rsidRPr="008849A9" w:rsidRDefault="00627208" w:rsidP="00941997">
            <w:pPr>
              <w:pStyle w:val="Heading1"/>
              <w:spacing w:line="256" w:lineRule="auto"/>
              <w:rPr>
                <w:rFonts w:ascii="Helvetica Neue" w:hAnsi="Helvetica Neue"/>
              </w:rPr>
            </w:pPr>
            <w:bookmarkStart w:id="1" w:name="_Toc290042500"/>
            <w:bookmarkStart w:id="2" w:name="_Toc421177499"/>
            <w:r w:rsidRPr="008849A9">
              <w:rPr>
                <w:rFonts w:ascii="Helvetica Neue" w:hAnsi="Helvetica Neue"/>
              </w:rPr>
              <w:t>publications Coordinator</w:t>
            </w:r>
            <w:bookmarkEnd w:id="1"/>
            <w:bookmarkEnd w:id="2"/>
          </w:p>
        </w:tc>
      </w:tr>
      <w:tr w:rsidR="00627208" w:rsidRPr="008849A9" w14:paraId="663DAEBF" w14:textId="77777777" w:rsidTr="00941997">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049F16E3" w14:textId="77777777" w:rsidR="00627208" w:rsidRPr="008849A9" w:rsidRDefault="00627208" w:rsidP="00941997">
            <w:pPr>
              <w:rPr>
                <w:rFonts w:ascii="Helvetica Neue" w:hAnsi="Helvetica Neue"/>
                <w:b/>
              </w:rPr>
            </w:pPr>
            <w:r w:rsidRPr="008849A9">
              <w:rPr>
                <w:rFonts w:ascii="Helvetica Neue" w:hAnsi="Helvetica Neue"/>
                <w:b/>
              </w:rPr>
              <w:t>KEY PURPOSE</w:t>
            </w:r>
          </w:p>
        </w:tc>
      </w:tr>
      <w:tr w:rsidR="00627208" w:rsidRPr="008849A9" w14:paraId="45029E98" w14:textId="77777777" w:rsidTr="0041200E">
        <w:trPr>
          <w:trHeight w:val="1015"/>
        </w:trPr>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6765BCA3" w14:textId="77777777" w:rsidR="00627208" w:rsidRPr="008849A9" w:rsidRDefault="00627208" w:rsidP="00941997">
            <w:pPr>
              <w:rPr>
                <w:rFonts w:ascii="Helvetica Neue" w:hAnsi="Helvetica Neue"/>
                <w:b/>
              </w:rPr>
            </w:pPr>
            <w:r w:rsidRPr="008849A9">
              <w:rPr>
                <w:rFonts w:ascii="Helvetica Neue" w:hAnsi="Helvetica Neue"/>
              </w:rPr>
              <w:t>The role exists to represent the members and to further the achievement of the Green Party’s objectives generally and specifically through ensuring a strategic approach to Green Party publications which accords with the party's broader strategy.</w:t>
            </w:r>
          </w:p>
        </w:tc>
      </w:tr>
      <w:tr w:rsidR="00627208" w:rsidRPr="008849A9" w14:paraId="3F390C07" w14:textId="77777777" w:rsidTr="00941997">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108AFDD8" w14:textId="77777777" w:rsidR="00627208" w:rsidRPr="008849A9" w:rsidRDefault="00627208" w:rsidP="00941997">
            <w:pPr>
              <w:rPr>
                <w:rFonts w:ascii="Helvetica Neue" w:hAnsi="Helvetica Neue"/>
                <w:b/>
              </w:rPr>
            </w:pPr>
            <w:r w:rsidRPr="008849A9">
              <w:rPr>
                <w:rFonts w:ascii="Helvetica Neue" w:hAnsi="Helvetica Neue"/>
                <w:b/>
              </w:rPr>
              <w:t>ACCOUNTABILITY</w:t>
            </w:r>
          </w:p>
        </w:tc>
      </w:tr>
      <w:tr w:rsidR="00627208" w:rsidRPr="008849A9" w14:paraId="33C4A08F" w14:textId="77777777" w:rsidTr="00941997">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0A8F4A1A" w14:textId="77777777" w:rsidR="00627208" w:rsidRPr="008849A9" w:rsidRDefault="00627208" w:rsidP="00941997">
            <w:pPr>
              <w:rPr>
                <w:rFonts w:ascii="Helvetica Neue" w:eastAsia="Times New Roman" w:hAnsi="Helvetica Neue" w:cs="Times New Roman"/>
                <w:color w:val="000000" w:themeColor="text1"/>
              </w:rPr>
            </w:pPr>
            <w:r w:rsidRPr="008849A9">
              <w:rPr>
                <w:rFonts w:ascii="Helvetica Neue" w:eastAsia="Times New Roman" w:hAnsi="Helvetica Neue" w:cs="Times New Roman"/>
                <w:color w:val="000000" w:themeColor="text1"/>
              </w:rPr>
              <w:t xml:space="preserve">As the </w:t>
            </w:r>
            <w:proofErr w:type="spellStart"/>
            <w:r w:rsidRPr="008849A9">
              <w:rPr>
                <w:rFonts w:ascii="Helvetica Neue" w:eastAsia="Times New Roman" w:hAnsi="Helvetica Neue" w:cs="Times New Roman"/>
                <w:color w:val="000000" w:themeColor="text1"/>
              </w:rPr>
              <w:t>GPEx</w:t>
            </w:r>
            <w:proofErr w:type="spellEnd"/>
            <w:r w:rsidRPr="008849A9">
              <w:rPr>
                <w:rFonts w:ascii="Helvetica Neue" w:eastAsia="Times New Roman" w:hAnsi="Helvetica Neue" w:cs="Times New Roman"/>
                <w:color w:val="000000" w:themeColor="text1"/>
              </w:rPr>
              <w:t xml:space="preserve"> is responsible and liable for the governance and functioning of the organisation, members are accountable in varying degrees to a variety of stakeholders, including: members, GPRC, and each other. </w:t>
            </w:r>
          </w:p>
          <w:p w14:paraId="361A8DF4" w14:textId="77777777" w:rsidR="00627208" w:rsidRPr="008849A9" w:rsidRDefault="00627208" w:rsidP="00941997">
            <w:pPr>
              <w:rPr>
                <w:rFonts w:ascii="Helvetica Neue" w:eastAsia="Times New Roman" w:hAnsi="Helvetica Neue" w:cs="Times New Roman"/>
                <w:color w:val="000000" w:themeColor="text1"/>
              </w:rPr>
            </w:pPr>
            <w:r w:rsidRPr="008849A9">
              <w:rPr>
                <w:rFonts w:ascii="Helvetica Neue" w:eastAsia="Times New Roman" w:hAnsi="Helvetica Neue" w:cs="Times New Roman"/>
                <w:color w:val="000000" w:themeColor="text1"/>
              </w:rPr>
              <w:t xml:space="preserve">Furthermore, the </w:t>
            </w:r>
            <w:proofErr w:type="spellStart"/>
            <w:r w:rsidRPr="008849A9">
              <w:rPr>
                <w:rFonts w:ascii="Helvetica Neue" w:eastAsia="Times New Roman" w:hAnsi="Helvetica Neue" w:cs="Times New Roman"/>
                <w:color w:val="000000" w:themeColor="text1"/>
              </w:rPr>
              <w:t>GPEx</w:t>
            </w:r>
            <w:proofErr w:type="spellEnd"/>
            <w:r w:rsidRPr="008849A9">
              <w:rPr>
                <w:rFonts w:ascii="Helvetica Neue" w:eastAsia="Times New Roman" w:hAnsi="Helvetica Neue" w:cs="Times New Roman"/>
                <w:color w:val="000000" w:themeColor="text1"/>
              </w:rPr>
              <w:t xml:space="preserve"> members should take a lead on building public trust and confidence in the Party’s work through demonstrating good practice and good governance, taking into consideration the wider implications of the decisions you make, and to communicate widely the reasons behind such decisions or actions. </w:t>
            </w:r>
          </w:p>
        </w:tc>
      </w:tr>
      <w:tr w:rsidR="00627208" w:rsidRPr="008849A9" w14:paraId="3AF595B6" w14:textId="77777777" w:rsidTr="00941997">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19505C67" w14:textId="77777777" w:rsidR="00627208" w:rsidRPr="008849A9" w:rsidRDefault="00627208" w:rsidP="00941997">
            <w:pPr>
              <w:rPr>
                <w:rFonts w:ascii="Helvetica Neue" w:hAnsi="Helvetica Neue"/>
                <w:b/>
              </w:rPr>
            </w:pPr>
            <w:r w:rsidRPr="008849A9">
              <w:rPr>
                <w:rFonts w:ascii="Helvetica Neue" w:hAnsi="Helvetica Neue"/>
                <w:b/>
              </w:rPr>
              <w:t>ROLE SPECIFIC DUTIES</w:t>
            </w:r>
          </w:p>
        </w:tc>
      </w:tr>
      <w:tr w:rsidR="00013F60" w:rsidRPr="008849A9" w14:paraId="55B324DD" w14:textId="77777777" w:rsidTr="00013F60">
        <w:trPr>
          <w:trHeight w:val="694"/>
        </w:trPr>
        <w:tc>
          <w:tcPr>
            <w:tcW w:w="9585" w:type="dxa"/>
            <w:gridSpan w:val="2"/>
            <w:tcBorders>
              <w:top w:val="single" w:sz="6" w:space="0" w:color="auto"/>
              <w:left w:val="single" w:sz="6" w:space="0" w:color="auto"/>
              <w:right w:val="single" w:sz="6" w:space="0" w:color="auto"/>
            </w:tcBorders>
            <w:shd w:val="clear" w:color="auto" w:fill="auto"/>
          </w:tcPr>
          <w:p w14:paraId="76C81C27" w14:textId="77777777" w:rsidR="009E359B" w:rsidRPr="008849A9" w:rsidRDefault="009E359B" w:rsidP="009E359B">
            <w:pPr>
              <w:spacing w:after="0"/>
              <w:rPr>
                <w:rFonts w:ascii="Helvetica Neue" w:hAnsi="Helvetica Neue"/>
              </w:rPr>
            </w:pPr>
            <w:r w:rsidRPr="009E359B">
              <w:rPr>
                <w:rFonts w:ascii="Helvetica Neue" w:hAnsi="Helvetica Neue"/>
                <w:bCs/>
              </w:rPr>
              <w:t xml:space="preserve">Support the development of publications </w:t>
            </w:r>
            <w:r>
              <w:rPr>
                <w:rFonts w:ascii="Helvetica Neue" w:hAnsi="Helvetica Neue"/>
                <w:bCs/>
              </w:rPr>
              <w:t xml:space="preserve">during local and nation elections, ensuring </w:t>
            </w:r>
            <w:r w:rsidRPr="008849A9">
              <w:rPr>
                <w:rFonts w:ascii="Helvetica Neue" w:hAnsi="Helvetica Neue"/>
              </w:rPr>
              <w:t>Green Party publications accord with the house style, electoral law and other legal requirements.</w:t>
            </w:r>
          </w:p>
          <w:p w14:paraId="5836EBE4" w14:textId="75ED0CE9" w:rsidR="009E359B" w:rsidRPr="009E359B" w:rsidRDefault="009E359B" w:rsidP="0041200E">
            <w:pPr>
              <w:spacing w:after="0"/>
              <w:rPr>
                <w:rFonts w:ascii="Helvetica Neue" w:hAnsi="Helvetica Neue"/>
                <w:bCs/>
              </w:rPr>
            </w:pPr>
          </w:p>
          <w:p w14:paraId="226625F2" w14:textId="3D10E749" w:rsidR="009E359B" w:rsidRPr="008849A9" w:rsidRDefault="009E359B" w:rsidP="009E359B">
            <w:pPr>
              <w:spacing w:after="0"/>
              <w:rPr>
                <w:rFonts w:ascii="Helvetica Neue" w:hAnsi="Helvetica Neue"/>
              </w:rPr>
            </w:pPr>
            <w:r w:rsidRPr="008849A9">
              <w:rPr>
                <w:rFonts w:ascii="Helvetica Neue" w:hAnsi="Helvetica Neue"/>
              </w:rPr>
              <w:t>Work closely with the External Communications</w:t>
            </w:r>
            <w:r>
              <w:rPr>
                <w:rFonts w:ascii="Helvetica Neue" w:hAnsi="Helvetica Neue"/>
              </w:rPr>
              <w:t>, Internal Communications</w:t>
            </w:r>
            <w:r w:rsidRPr="008849A9">
              <w:rPr>
                <w:rFonts w:ascii="Helvetica Neue" w:hAnsi="Helvetica Neue"/>
              </w:rPr>
              <w:t xml:space="preserve"> and Campaigns Coordinators to ensure </w:t>
            </w:r>
            <w:r>
              <w:rPr>
                <w:rFonts w:ascii="Helvetica Neue" w:hAnsi="Helvetica Neue"/>
              </w:rPr>
              <w:t>integration between media and publications approaches.</w:t>
            </w:r>
          </w:p>
          <w:p w14:paraId="1B78B163" w14:textId="77777777" w:rsidR="009E359B" w:rsidRDefault="009E359B" w:rsidP="0041200E">
            <w:pPr>
              <w:spacing w:after="0"/>
              <w:rPr>
                <w:rFonts w:ascii="Helvetica Neue" w:hAnsi="Helvetica Neue"/>
                <w:b/>
              </w:rPr>
            </w:pPr>
          </w:p>
          <w:p w14:paraId="49067AA4" w14:textId="0E824E51" w:rsidR="009E359B" w:rsidRPr="009E359B" w:rsidRDefault="009E359B" w:rsidP="0041200E">
            <w:pPr>
              <w:spacing w:after="0"/>
              <w:rPr>
                <w:rFonts w:ascii="Helvetica Neue" w:hAnsi="Helvetica Neue"/>
                <w:bCs/>
              </w:rPr>
            </w:pPr>
            <w:r w:rsidRPr="008849A9">
              <w:rPr>
                <w:rFonts w:ascii="Helvetica Neue" w:hAnsi="Helvetica Neue"/>
              </w:rPr>
              <w:t xml:space="preserve">The Publications Coordinator is the </w:t>
            </w:r>
            <w:proofErr w:type="spellStart"/>
            <w:r w:rsidRPr="008849A9">
              <w:rPr>
                <w:rFonts w:ascii="Helvetica Neue" w:hAnsi="Helvetica Neue"/>
              </w:rPr>
              <w:t>GPEx</w:t>
            </w:r>
            <w:proofErr w:type="spellEnd"/>
            <w:r w:rsidRPr="008849A9">
              <w:rPr>
                <w:rFonts w:ascii="Helvetica Neue" w:hAnsi="Helvetica Neue"/>
              </w:rPr>
              <w:t xml:space="preserve"> representative to the Green World Editorial Board</w:t>
            </w:r>
            <w:r>
              <w:rPr>
                <w:rFonts w:ascii="Helvetica Neue" w:hAnsi="Helvetica Neue"/>
              </w:rPr>
              <w:t xml:space="preserve"> and is the lead for supporting the use of Green World as a communication tool for the party.</w:t>
            </w:r>
          </w:p>
          <w:p w14:paraId="2A252AC4" w14:textId="77777777" w:rsidR="009E359B" w:rsidRDefault="009E359B" w:rsidP="0041200E">
            <w:pPr>
              <w:spacing w:after="0"/>
              <w:rPr>
                <w:rFonts w:ascii="Helvetica Neue" w:hAnsi="Helvetica Neue"/>
                <w:b/>
              </w:rPr>
            </w:pPr>
          </w:p>
          <w:p w14:paraId="04EE2187" w14:textId="77777777" w:rsidR="00013F60" w:rsidRPr="008849A9" w:rsidRDefault="00013F60" w:rsidP="00013F60">
            <w:pPr>
              <w:rPr>
                <w:rFonts w:ascii="Helvetica Neue" w:hAnsi="Helvetica Neue"/>
              </w:rPr>
            </w:pPr>
            <w:r w:rsidRPr="008849A9">
              <w:rPr>
                <w:rFonts w:ascii="Helvetica Neue" w:hAnsi="Helvetica Neue"/>
                <w:b/>
              </w:rPr>
              <w:t xml:space="preserve">Committee Responsibilities: </w:t>
            </w:r>
            <w:r w:rsidRPr="008849A9">
              <w:rPr>
                <w:rFonts w:ascii="Helvetica Neue" w:hAnsi="Helvetica Neue"/>
              </w:rPr>
              <w:t>The Publications Coordinator is a member of Campaigns and Communications Committee, Digital Committee, Members’ Website Development Committee, and the Party Branding &amp; Logo Committee</w:t>
            </w:r>
          </w:p>
          <w:p w14:paraId="3E88E287" w14:textId="77777777" w:rsidR="00013F60" w:rsidRPr="008849A9" w:rsidRDefault="00013F60" w:rsidP="00013F60">
            <w:pPr>
              <w:rPr>
                <w:rFonts w:ascii="Helvetica Neue" w:hAnsi="Helvetica Neue"/>
              </w:rPr>
            </w:pPr>
            <w:r w:rsidRPr="008849A9">
              <w:rPr>
                <w:rFonts w:ascii="Helvetica Neue" w:hAnsi="Helvetica Neue"/>
                <w:b/>
              </w:rPr>
              <w:t>Relationships With Staff:</w:t>
            </w:r>
            <w:r w:rsidRPr="008849A9">
              <w:rPr>
                <w:rFonts w:ascii="Helvetica Neue" w:hAnsi="Helvetica Neue"/>
              </w:rPr>
              <w:t xml:space="preserve">  The Publications Coordinator has appropriate contact with Party Office staff.</w:t>
            </w:r>
          </w:p>
          <w:p w14:paraId="2570066C" w14:textId="77777777" w:rsidR="00013F60" w:rsidRPr="008849A9" w:rsidRDefault="00013F60" w:rsidP="00013F60">
            <w:pPr>
              <w:rPr>
                <w:rFonts w:ascii="Helvetica Neue" w:hAnsi="Helvetica Neue"/>
              </w:rPr>
            </w:pPr>
            <w:r w:rsidRPr="008849A9">
              <w:rPr>
                <w:rFonts w:ascii="Helvetica Neue" w:hAnsi="Helvetica Neue"/>
                <w:b/>
              </w:rPr>
              <w:t xml:space="preserve">Relationships Outside the Green Party:  </w:t>
            </w:r>
            <w:r w:rsidRPr="008849A9">
              <w:rPr>
                <w:rFonts w:ascii="Helvetica Neue" w:hAnsi="Helvetica Neue"/>
              </w:rPr>
              <w:t>The Publications Coordinator has limited contact with external organisations.</w:t>
            </w:r>
          </w:p>
        </w:tc>
      </w:tr>
      <w:tr w:rsidR="00013F60" w:rsidRPr="008849A9" w14:paraId="388A4E5D" w14:textId="77777777" w:rsidTr="00941997">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549A2500" w14:textId="77777777" w:rsidR="00013F60" w:rsidRPr="008849A9" w:rsidRDefault="00013F60" w:rsidP="00013F60">
            <w:pPr>
              <w:rPr>
                <w:rFonts w:ascii="Helvetica Neue" w:hAnsi="Helvetica Neue"/>
                <w:b/>
              </w:rPr>
            </w:pPr>
            <w:r w:rsidRPr="008849A9">
              <w:rPr>
                <w:rFonts w:ascii="Helvetica Neue" w:hAnsi="Helvetica Neue"/>
                <w:b/>
              </w:rPr>
              <w:t>ROLE SPECIFIC SKILLS, KNOWLEDGE, AND EXPERIENCE</w:t>
            </w:r>
          </w:p>
        </w:tc>
      </w:tr>
      <w:tr w:rsidR="00013F60" w:rsidRPr="008849A9" w14:paraId="59906354" w14:textId="77777777" w:rsidTr="00941997">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2CED05B3" w14:textId="77777777" w:rsidR="00013F60" w:rsidRPr="008849A9" w:rsidRDefault="00013F60" w:rsidP="00013F60">
            <w:pPr>
              <w:rPr>
                <w:rFonts w:ascii="Helvetica Neue" w:hAnsi="Helvetica Neue"/>
              </w:rPr>
            </w:pPr>
            <w:r w:rsidRPr="008849A9">
              <w:rPr>
                <w:rFonts w:ascii="Helvetica Neue" w:hAnsi="Helvetica Neue"/>
              </w:rPr>
              <w:t>A good understanding of Green Party policy.</w:t>
            </w:r>
          </w:p>
          <w:p w14:paraId="1C007B8C" w14:textId="77777777" w:rsidR="00013F60" w:rsidRPr="008849A9" w:rsidRDefault="00013F60" w:rsidP="00013F60">
            <w:pPr>
              <w:pStyle w:val="NormalWeb"/>
              <w:spacing w:before="0" w:beforeAutospacing="0" w:after="0" w:afterAutospacing="0"/>
              <w:textAlignment w:val="baseline"/>
              <w:rPr>
                <w:rFonts w:ascii="Helvetica Neue" w:hAnsi="Helvetica Neue" w:cs="Arial"/>
                <w:color w:val="000000"/>
                <w:sz w:val="22"/>
                <w:szCs w:val="22"/>
              </w:rPr>
            </w:pPr>
            <w:r w:rsidRPr="008849A9">
              <w:rPr>
                <w:rFonts w:ascii="Helvetica Neue" w:hAnsi="Helvetica Neue"/>
                <w:sz w:val="22"/>
                <w:szCs w:val="22"/>
              </w:rPr>
              <w:t>A good background in policy development.</w:t>
            </w:r>
          </w:p>
        </w:tc>
      </w:tr>
      <w:tr w:rsidR="00013F60" w:rsidRPr="008849A9" w14:paraId="04416AA7" w14:textId="77777777" w:rsidTr="00941997">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133F7392" w14:textId="77777777" w:rsidR="00013F60" w:rsidRPr="008849A9" w:rsidRDefault="00013F60" w:rsidP="00013F60">
            <w:pPr>
              <w:rPr>
                <w:rFonts w:ascii="Helvetica Neue" w:hAnsi="Helvetica Neue"/>
                <w:b/>
              </w:rPr>
            </w:pPr>
            <w:r w:rsidRPr="008849A9">
              <w:rPr>
                <w:rFonts w:ascii="Helvetica Neue" w:hAnsi="Helvetica Neue"/>
                <w:b/>
              </w:rPr>
              <w:t>ADDITIONAL INFORMATION</w:t>
            </w:r>
          </w:p>
        </w:tc>
      </w:tr>
      <w:tr w:rsidR="00013F60" w:rsidRPr="008849A9" w14:paraId="5179BC3C" w14:textId="77777777" w:rsidTr="00941997">
        <w:tc>
          <w:tcPr>
            <w:tcW w:w="9585" w:type="dxa"/>
            <w:gridSpan w:val="2"/>
            <w:tcBorders>
              <w:top w:val="single" w:sz="6" w:space="0" w:color="auto"/>
              <w:left w:val="single" w:sz="6" w:space="0" w:color="auto"/>
              <w:bottom w:val="single" w:sz="4" w:space="0" w:color="auto"/>
              <w:right w:val="single" w:sz="6" w:space="0" w:color="auto"/>
            </w:tcBorders>
            <w:shd w:val="clear" w:color="auto" w:fill="auto"/>
          </w:tcPr>
          <w:p w14:paraId="5CA54E80" w14:textId="77777777" w:rsidR="00013F60" w:rsidRPr="008849A9" w:rsidRDefault="00013F60" w:rsidP="00013F60">
            <w:pPr>
              <w:rPr>
                <w:rFonts w:ascii="Helvetica Neue" w:hAnsi="Helvetica Neue"/>
                <w:b/>
              </w:rPr>
            </w:pPr>
            <w:r w:rsidRPr="008849A9">
              <w:rPr>
                <w:rFonts w:ascii="Helvetica Neue" w:hAnsi="Helvetica Neue"/>
                <w:b/>
              </w:rPr>
              <w:lastRenderedPageBreak/>
              <w:t>Constitutional definition (Section 13 (</w:t>
            </w:r>
            <w:proofErr w:type="spellStart"/>
            <w:r w:rsidRPr="008849A9">
              <w:rPr>
                <w:rFonts w:ascii="Helvetica Neue" w:hAnsi="Helvetica Neue"/>
                <w:b/>
              </w:rPr>
              <w:t>i</w:t>
            </w:r>
            <w:proofErr w:type="spellEnd"/>
            <w:r w:rsidRPr="008849A9">
              <w:rPr>
                <w:rFonts w:ascii="Helvetica Neue" w:hAnsi="Helvetica Neue"/>
                <w:b/>
              </w:rPr>
              <w:t xml:space="preserve">) of Policy Development Committee: </w:t>
            </w:r>
          </w:p>
          <w:p w14:paraId="4CC1696E" w14:textId="77777777" w:rsidR="00013F60" w:rsidRPr="008849A9" w:rsidRDefault="00013F60" w:rsidP="00013F60">
            <w:pPr>
              <w:rPr>
                <w:rFonts w:ascii="Helvetica Neue" w:hAnsi="Helvetica Neue"/>
              </w:rPr>
            </w:pPr>
            <w:r w:rsidRPr="008849A9">
              <w:rPr>
                <w:rFonts w:ascii="Helvetica Neue" w:hAnsi="Helvetica Neue"/>
              </w:rPr>
              <w:t>13(</w:t>
            </w:r>
            <w:proofErr w:type="spellStart"/>
            <w:r w:rsidRPr="008849A9">
              <w:rPr>
                <w:rFonts w:ascii="Helvetica Neue" w:hAnsi="Helvetica Neue"/>
              </w:rPr>
              <w:t>i</w:t>
            </w:r>
            <w:proofErr w:type="spellEnd"/>
            <w:r w:rsidRPr="008849A9">
              <w:rPr>
                <w:rFonts w:ascii="Helvetica Neue" w:hAnsi="Helvetica Neue"/>
              </w:rPr>
              <w:t>)  There shall be a Green Party Policy Development Committee (hereinafter referred to as the PDC) which should be convened by the Policy Development Co-ordinator and which shall be responsible for providing for consideration by the Party the best available policy options consistent with the Philosophical Basis. The Policy Development Committee shall include five members elected by ballot of the entire membership, usually at the same time as the ballot for the membership of the Executive is held. Up to an additional five non-voting members may be co-opted by the elected Committee.  This co-option shall take place after an annual skills audit carried out immediately following the election of the elected members, and will take account of</w:t>
            </w:r>
          </w:p>
          <w:p w14:paraId="32F66E23" w14:textId="77777777" w:rsidR="00013F60" w:rsidRPr="008849A9" w:rsidRDefault="00013F60" w:rsidP="00013F60">
            <w:pPr>
              <w:pStyle w:val="ListParagraph"/>
              <w:numPr>
                <w:ilvl w:val="0"/>
                <w:numId w:val="2"/>
              </w:numPr>
              <w:spacing w:line="276" w:lineRule="auto"/>
              <w:rPr>
                <w:rFonts w:ascii="Helvetica Neue" w:hAnsi="Helvetica Neue"/>
                <w:sz w:val="22"/>
                <w:szCs w:val="22"/>
              </w:rPr>
            </w:pPr>
            <w:r w:rsidRPr="008849A9">
              <w:rPr>
                <w:rFonts w:ascii="Helvetica Neue" w:hAnsi="Helvetica Neue"/>
                <w:sz w:val="22"/>
                <w:szCs w:val="22"/>
              </w:rPr>
              <w:t>the views of Equality and Diversity Committee</w:t>
            </w:r>
          </w:p>
          <w:p w14:paraId="32EC1200" w14:textId="77777777" w:rsidR="00013F60" w:rsidRPr="008849A9" w:rsidRDefault="00013F60" w:rsidP="00013F60">
            <w:pPr>
              <w:pStyle w:val="ListParagraph"/>
              <w:numPr>
                <w:ilvl w:val="0"/>
                <w:numId w:val="2"/>
              </w:numPr>
              <w:spacing w:line="276" w:lineRule="auto"/>
              <w:rPr>
                <w:rFonts w:ascii="Helvetica Neue" w:hAnsi="Helvetica Neue"/>
                <w:sz w:val="22"/>
                <w:szCs w:val="22"/>
              </w:rPr>
            </w:pPr>
            <w:r w:rsidRPr="008849A9">
              <w:rPr>
                <w:rFonts w:ascii="Helvetica Neue" w:hAnsi="Helvetica Neue"/>
                <w:sz w:val="22"/>
                <w:szCs w:val="22"/>
              </w:rPr>
              <w:t>the views of relevant special interest groups within the party</w:t>
            </w:r>
          </w:p>
          <w:p w14:paraId="257B6950" w14:textId="77777777" w:rsidR="00013F60" w:rsidRPr="008849A9" w:rsidRDefault="00013F60" w:rsidP="00013F60">
            <w:pPr>
              <w:pStyle w:val="ListParagraph"/>
              <w:numPr>
                <w:ilvl w:val="0"/>
                <w:numId w:val="2"/>
              </w:numPr>
              <w:spacing w:line="276" w:lineRule="auto"/>
              <w:rPr>
                <w:rFonts w:ascii="Helvetica Neue" w:hAnsi="Helvetica Neue"/>
                <w:sz w:val="22"/>
                <w:szCs w:val="22"/>
              </w:rPr>
            </w:pPr>
            <w:r w:rsidRPr="008849A9">
              <w:rPr>
                <w:rFonts w:ascii="Helvetica Neue" w:hAnsi="Helvetica Neue"/>
                <w:sz w:val="22"/>
                <w:szCs w:val="22"/>
              </w:rPr>
              <w:t>the views of the Association of Green Councillors,</w:t>
            </w:r>
          </w:p>
          <w:p w14:paraId="0A83D757" w14:textId="77777777" w:rsidR="00013F60" w:rsidRPr="008849A9" w:rsidRDefault="00013F60" w:rsidP="00013F60">
            <w:pPr>
              <w:rPr>
                <w:rFonts w:ascii="Helvetica Neue" w:hAnsi="Helvetica Neue"/>
              </w:rPr>
            </w:pPr>
            <w:r w:rsidRPr="008849A9">
              <w:rPr>
                <w:rFonts w:ascii="Helvetica Neue" w:hAnsi="Helvetica Neue"/>
              </w:rPr>
              <w:t>and should ensure that at least two members of the Committee have direct experience of serving as a principal authority councillor.</w:t>
            </w:r>
          </w:p>
          <w:p w14:paraId="7EE8DDB3" w14:textId="77777777" w:rsidR="00013F60" w:rsidRPr="008849A9" w:rsidRDefault="00013F60" w:rsidP="00013F60">
            <w:pPr>
              <w:rPr>
                <w:rFonts w:ascii="Helvetica Neue" w:hAnsi="Helvetica Neue"/>
              </w:rPr>
            </w:pPr>
            <w:r w:rsidRPr="008849A9">
              <w:rPr>
                <w:rFonts w:ascii="Helvetica Neue" w:hAnsi="Helvetica Neue"/>
              </w:rPr>
              <w:t>The PDC shall be responsible for enabling, co-ordinating and promoting policy formulation for the Green party. The PDC shall submit a written report to each Conference.</w:t>
            </w:r>
          </w:p>
          <w:p w14:paraId="468E059A" w14:textId="77777777" w:rsidR="00013F60" w:rsidRPr="008849A9" w:rsidRDefault="00013F60" w:rsidP="00013F60">
            <w:pPr>
              <w:rPr>
                <w:rFonts w:ascii="Helvetica Neue" w:hAnsi="Helvetica Neue"/>
                <w:b/>
              </w:rPr>
            </w:pPr>
            <w:r w:rsidRPr="008849A9">
              <w:rPr>
                <w:rFonts w:ascii="Helvetica Neue" w:hAnsi="Helvetica Neue"/>
                <w:b/>
              </w:rPr>
              <w:t>For further information on the role of Policy Development Committee, please see section 13 of the Green Party Constitution, and Standing Orders for the Conduct of Conference, in particular Appendix A.</w:t>
            </w:r>
          </w:p>
        </w:tc>
      </w:tr>
      <w:tr w:rsidR="00013F60" w:rsidRPr="008849A9" w14:paraId="4FE2AD68" w14:textId="77777777" w:rsidTr="00941997">
        <w:tc>
          <w:tcPr>
            <w:tcW w:w="9585" w:type="dxa"/>
            <w:gridSpan w:val="2"/>
            <w:tcBorders>
              <w:top w:val="single" w:sz="4" w:space="0" w:color="auto"/>
              <w:left w:val="single" w:sz="6" w:space="0" w:color="auto"/>
              <w:bottom w:val="single" w:sz="6" w:space="0" w:color="auto"/>
              <w:right w:val="single" w:sz="6" w:space="0" w:color="auto"/>
            </w:tcBorders>
            <w:shd w:val="clear" w:color="auto" w:fill="99FF66"/>
          </w:tcPr>
          <w:p w14:paraId="46373B17" w14:textId="77777777" w:rsidR="00013F60" w:rsidRPr="008849A9" w:rsidRDefault="00013F60" w:rsidP="00013F60">
            <w:pPr>
              <w:rPr>
                <w:rFonts w:ascii="Helvetica Neue" w:hAnsi="Helvetica Neue"/>
                <w:b/>
              </w:rPr>
            </w:pPr>
            <w:r w:rsidRPr="008849A9">
              <w:rPr>
                <w:rFonts w:ascii="Helvetica Neue" w:hAnsi="Helvetica Neue"/>
                <w:b/>
              </w:rPr>
              <w:t>BEHAVIOURAL STANDARDS</w:t>
            </w:r>
          </w:p>
        </w:tc>
      </w:tr>
      <w:tr w:rsidR="00013F60" w:rsidRPr="008849A9" w14:paraId="54BF5540" w14:textId="77777777" w:rsidTr="00941997">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462356A2" w14:textId="77777777" w:rsidR="00013F60" w:rsidRPr="008849A9" w:rsidRDefault="00013F60" w:rsidP="00013F60">
            <w:pPr>
              <w:rPr>
                <w:rFonts w:ascii="Helvetica Neue" w:hAnsi="Helvetica Neue"/>
              </w:rPr>
            </w:pPr>
            <w:r w:rsidRPr="008849A9">
              <w:rPr>
                <w:rFonts w:ascii="Helvetica Neue" w:hAnsi="Helvetica Neue"/>
                <w:color w:val="000000" w:themeColor="text1"/>
              </w:rPr>
              <w:t xml:space="preserve">All members of </w:t>
            </w:r>
            <w:proofErr w:type="spellStart"/>
            <w:r w:rsidRPr="008849A9">
              <w:rPr>
                <w:rFonts w:ascii="Helvetica Neue" w:hAnsi="Helvetica Neue"/>
                <w:color w:val="000000" w:themeColor="text1"/>
              </w:rPr>
              <w:t>GPEx</w:t>
            </w:r>
            <w:proofErr w:type="spellEnd"/>
            <w:r w:rsidRPr="008849A9">
              <w:rPr>
                <w:rFonts w:ascii="Helvetica Neue" w:hAnsi="Helvetica Neue"/>
                <w:color w:val="000000" w:themeColor="text1"/>
              </w:rPr>
              <w:t xml:space="preserve"> are expected to adhere to the Code of Conduct and operate in a way that upholds the Values of the Party and supports the Philosophical Basis on which it is built.</w:t>
            </w:r>
          </w:p>
        </w:tc>
      </w:tr>
      <w:tr w:rsidR="00013F60" w:rsidRPr="008849A9" w14:paraId="7D65749F" w14:textId="77777777" w:rsidTr="00941997">
        <w:tc>
          <w:tcPr>
            <w:tcW w:w="9585" w:type="dxa"/>
            <w:gridSpan w:val="2"/>
            <w:tcBorders>
              <w:top w:val="single" w:sz="6" w:space="0" w:color="auto"/>
              <w:left w:val="single" w:sz="6" w:space="0" w:color="auto"/>
              <w:bottom w:val="single" w:sz="6" w:space="0" w:color="auto"/>
              <w:right w:val="single" w:sz="6" w:space="0" w:color="auto"/>
            </w:tcBorders>
            <w:hideMark/>
          </w:tcPr>
          <w:p w14:paraId="4B364E44" w14:textId="77777777" w:rsidR="00013F60" w:rsidRPr="008849A9" w:rsidRDefault="00013F60" w:rsidP="00013F60">
            <w:pPr>
              <w:rPr>
                <w:rFonts w:ascii="Helvetica Neue" w:hAnsi="Helvetica Neue"/>
              </w:rPr>
            </w:pPr>
          </w:p>
        </w:tc>
      </w:tr>
      <w:tr w:rsidR="00013F60" w:rsidRPr="008849A9" w14:paraId="531FD3DB" w14:textId="77777777" w:rsidTr="00941997">
        <w:tblPrEx>
          <w:tblBorders>
            <w:top w:val="single" w:sz="12" w:space="0" w:color="auto"/>
            <w:left w:val="single" w:sz="12" w:space="0" w:color="auto"/>
            <w:bottom w:val="single" w:sz="12" w:space="0" w:color="auto"/>
            <w:right w:val="single" w:sz="12" w:space="0" w:color="auto"/>
            <w:insideV w:val="single" w:sz="6" w:space="0" w:color="auto"/>
          </w:tblBorders>
        </w:tblPrEx>
        <w:trPr>
          <w:trHeight w:val="357"/>
        </w:trPr>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3837E382" w14:textId="77777777" w:rsidR="00013F60" w:rsidRPr="008849A9" w:rsidRDefault="00013F60" w:rsidP="00013F60">
            <w:pPr>
              <w:rPr>
                <w:rFonts w:ascii="Helvetica Neue" w:hAnsi="Helvetica Neue"/>
                <w:b/>
              </w:rPr>
            </w:pPr>
            <w:r w:rsidRPr="008849A9">
              <w:rPr>
                <w:rFonts w:ascii="Helvetica Neue" w:hAnsi="Helvetica Neue"/>
                <w:b/>
              </w:rPr>
              <w:t>Role description review</w:t>
            </w:r>
          </w:p>
        </w:tc>
      </w:tr>
      <w:tr w:rsidR="00013F60" w:rsidRPr="008849A9" w14:paraId="75BE57D9" w14:textId="77777777" w:rsidTr="00941997">
        <w:tblPrEx>
          <w:tblBorders>
            <w:top w:val="single" w:sz="12" w:space="0" w:color="auto"/>
            <w:left w:val="single" w:sz="12" w:space="0" w:color="auto"/>
            <w:bottom w:val="single" w:sz="12" w:space="0" w:color="auto"/>
            <w:right w:val="single" w:sz="12" w:space="0" w:color="auto"/>
            <w:insideV w:val="single" w:sz="6" w:space="0" w:color="auto"/>
          </w:tblBorders>
        </w:tblPrEx>
        <w:tc>
          <w:tcPr>
            <w:tcW w:w="9585" w:type="dxa"/>
            <w:gridSpan w:val="2"/>
            <w:tcBorders>
              <w:top w:val="single" w:sz="6" w:space="0" w:color="auto"/>
              <w:left w:val="single" w:sz="6" w:space="0" w:color="auto"/>
              <w:bottom w:val="single" w:sz="6" w:space="0" w:color="auto"/>
              <w:right w:val="single" w:sz="6" w:space="0" w:color="auto"/>
            </w:tcBorders>
            <w:hideMark/>
          </w:tcPr>
          <w:p w14:paraId="070F6C67" w14:textId="77777777" w:rsidR="00013F60" w:rsidRPr="008849A9" w:rsidRDefault="00013F60" w:rsidP="00013F60">
            <w:pPr>
              <w:rPr>
                <w:rFonts w:ascii="Helvetica Neue" w:hAnsi="Helvetica Neue"/>
                <w:b/>
                <w:i/>
              </w:rPr>
            </w:pPr>
            <w:r w:rsidRPr="008849A9">
              <w:rPr>
                <w:rFonts w:ascii="Helvetica Neue" w:hAnsi="Helvetica Neue"/>
                <w:b/>
                <w:i/>
              </w:rPr>
              <w:t>This role description is reviewed at the end of the first year of each 2 year term.</w:t>
            </w:r>
          </w:p>
        </w:tc>
      </w:tr>
      <w:tr w:rsidR="00013F60" w:rsidRPr="008849A9" w14:paraId="19C18B04" w14:textId="77777777" w:rsidTr="00941997">
        <w:tblPrEx>
          <w:tblBorders>
            <w:top w:val="single" w:sz="12" w:space="0" w:color="auto"/>
            <w:left w:val="single" w:sz="12" w:space="0" w:color="auto"/>
            <w:bottom w:val="single" w:sz="12" w:space="0" w:color="auto"/>
            <w:right w:val="single" w:sz="12" w:space="0" w:color="auto"/>
            <w:insideV w:val="single" w:sz="6" w:space="0" w:color="auto"/>
          </w:tblBorders>
        </w:tblPrEx>
        <w:tc>
          <w:tcPr>
            <w:tcW w:w="4793" w:type="dxa"/>
            <w:tcBorders>
              <w:top w:val="single" w:sz="6" w:space="0" w:color="auto"/>
              <w:left w:val="single" w:sz="6" w:space="0" w:color="auto"/>
              <w:bottom w:val="single" w:sz="6" w:space="0" w:color="auto"/>
              <w:right w:val="single" w:sz="6" w:space="0" w:color="0000FF"/>
            </w:tcBorders>
            <w:shd w:val="clear" w:color="auto" w:fill="99FF66"/>
            <w:hideMark/>
          </w:tcPr>
          <w:p w14:paraId="223D1506" w14:textId="77777777" w:rsidR="00013F60" w:rsidRPr="008849A9" w:rsidRDefault="00013F60" w:rsidP="00013F60">
            <w:pPr>
              <w:rPr>
                <w:rFonts w:ascii="Helvetica Neue" w:hAnsi="Helvetica Neue"/>
                <w:i/>
              </w:rPr>
            </w:pPr>
            <w:r w:rsidRPr="008849A9">
              <w:rPr>
                <w:rFonts w:ascii="Helvetica Neue" w:hAnsi="Helvetica Neue"/>
                <w:i/>
              </w:rPr>
              <w:t>Last Review Date:</w:t>
            </w:r>
          </w:p>
        </w:tc>
        <w:tc>
          <w:tcPr>
            <w:tcW w:w="4792" w:type="dxa"/>
            <w:tcBorders>
              <w:top w:val="single" w:sz="6" w:space="0" w:color="auto"/>
              <w:left w:val="single" w:sz="6" w:space="0" w:color="0000FF"/>
              <w:bottom w:val="single" w:sz="6" w:space="0" w:color="auto"/>
              <w:right w:val="single" w:sz="6" w:space="0" w:color="auto"/>
            </w:tcBorders>
            <w:hideMark/>
          </w:tcPr>
          <w:p w14:paraId="1C5C3DF4" w14:textId="6CCFCF4A" w:rsidR="00013F60" w:rsidRPr="008849A9" w:rsidRDefault="00013F60" w:rsidP="00013F60">
            <w:pPr>
              <w:rPr>
                <w:rFonts w:ascii="Helvetica Neue" w:hAnsi="Helvetica Neue"/>
                <w:b/>
                <w:i/>
              </w:rPr>
            </w:pPr>
            <w:r w:rsidRPr="008849A9">
              <w:rPr>
                <w:rFonts w:ascii="Helvetica Neue" w:hAnsi="Helvetica Neue"/>
                <w:b/>
                <w:i/>
              </w:rPr>
              <w:t>May 2020</w:t>
            </w:r>
          </w:p>
        </w:tc>
      </w:tr>
    </w:tbl>
    <w:p w14:paraId="30FED5F8" w14:textId="77777777" w:rsidR="00627208" w:rsidRPr="00013F60" w:rsidRDefault="00627208" w:rsidP="00E41D29">
      <w:pPr>
        <w:rPr>
          <w:b/>
        </w:rPr>
      </w:pPr>
    </w:p>
    <w:p w14:paraId="3B6369CE" w14:textId="77777777" w:rsidR="00627208" w:rsidRPr="00013F60" w:rsidRDefault="00627208" w:rsidP="00E41D29">
      <w:pPr>
        <w:rPr>
          <w:b/>
        </w:rPr>
      </w:pPr>
    </w:p>
    <w:p w14:paraId="6FDECE16" w14:textId="77777777" w:rsidR="004335C6" w:rsidRDefault="00E44DF1"/>
    <w:sectPr w:rsidR="00433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5428"/>
    <w:multiLevelType w:val="hybridMultilevel"/>
    <w:tmpl w:val="61C8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B1393"/>
    <w:multiLevelType w:val="hybridMultilevel"/>
    <w:tmpl w:val="C2F6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29"/>
    <w:rsid w:val="00013F60"/>
    <w:rsid w:val="00077D4C"/>
    <w:rsid w:val="00092F84"/>
    <w:rsid w:val="0041200E"/>
    <w:rsid w:val="00627208"/>
    <w:rsid w:val="007D3094"/>
    <w:rsid w:val="00837CA2"/>
    <w:rsid w:val="008849A9"/>
    <w:rsid w:val="008B7FC6"/>
    <w:rsid w:val="00926C86"/>
    <w:rsid w:val="00952CE0"/>
    <w:rsid w:val="009E359B"/>
    <w:rsid w:val="00E05C16"/>
    <w:rsid w:val="00E11BE1"/>
    <w:rsid w:val="00E41D29"/>
    <w:rsid w:val="00E44DF1"/>
    <w:rsid w:val="00ED4412"/>
    <w:rsid w:val="00F63714"/>
    <w:rsid w:val="00FC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4999"/>
  <w15:docId w15:val="{9C7E54DA-0DDE-4F71-B738-F772C0F0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D29"/>
    <w:pPr>
      <w:spacing w:after="200" w:line="276" w:lineRule="auto"/>
    </w:pPr>
  </w:style>
  <w:style w:type="paragraph" w:styleId="Heading1">
    <w:name w:val="heading 1"/>
    <w:basedOn w:val="Normal"/>
    <w:next w:val="Heading2"/>
    <w:link w:val="Heading1Char"/>
    <w:qFormat/>
    <w:rsid w:val="00E41D29"/>
    <w:pPr>
      <w:keepNext/>
      <w:spacing w:before="240" w:after="240" w:line="240" w:lineRule="auto"/>
      <w:jc w:val="center"/>
      <w:outlineLvl w:val="0"/>
    </w:pPr>
    <w:rPr>
      <w:rFonts w:ascii="Calibri" w:hAnsi="Calibri"/>
      <w:b/>
      <w:caps/>
      <w:kern w:val="28"/>
      <w:sz w:val="32"/>
    </w:rPr>
  </w:style>
  <w:style w:type="paragraph" w:styleId="Heading2">
    <w:name w:val="heading 2"/>
    <w:basedOn w:val="Normal"/>
    <w:next w:val="Normal"/>
    <w:link w:val="Heading2Char"/>
    <w:uiPriority w:val="9"/>
    <w:semiHidden/>
    <w:unhideWhenUsed/>
    <w:qFormat/>
    <w:rsid w:val="00E41D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D29"/>
    <w:rPr>
      <w:rFonts w:ascii="Calibri" w:hAnsi="Calibri"/>
      <w:b/>
      <w:caps/>
      <w:kern w:val="28"/>
      <w:sz w:val="32"/>
    </w:rPr>
  </w:style>
  <w:style w:type="character" w:customStyle="1" w:styleId="Heading2Char">
    <w:name w:val="Heading 2 Char"/>
    <w:basedOn w:val="DefaultParagraphFont"/>
    <w:link w:val="Heading2"/>
    <w:uiPriority w:val="9"/>
    <w:semiHidden/>
    <w:rsid w:val="00E41D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27208"/>
    <w:pPr>
      <w:spacing w:after="0" w:line="240" w:lineRule="auto"/>
      <w:ind w:left="720"/>
      <w:contextualSpacing/>
    </w:pPr>
    <w:rPr>
      <w:sz w:val="24"/>
      <w:szCs w:val="24"/>
    </w:rPr>
  </w:style>
  <w:style w:type="paragraph" w:styleId="NormalWeb">
    <w:name w:val="Normal (Web)"/>
    <w:basedOn w:val="Normal"/>
    <w:uiPriority w:val="99"/>
    <w:unhideWhenUsed/>
    <w:rsid w:val="00627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Hawkins</dc:creator>
  <cp:lastModifiedBy>Microsoft Office User</cp:lastModifiedBy>
  <cp:revision>4</cp:revision>
  <dcterms:created xsi:type="dcterms:W3CDTF">2020-05-20T06:50:00Z</dcterms:created>
  <dcterms:modified xsi:type="dcterms:W3CDTF">2020-05-27T13:11:00Z</dcterms:modified>
</cp:coreProperties>
</file>