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85" w:type="dxa"/>
        <w:tblBorders>
          <w:top w:val="single" w:sz="6" w:space="0" w:color="auto"/>
          <w:left w:val="single" w:sz="6" w:space="0" w:color="auto"/>
          <w:bottom w:val="single" w:sz="6" w:space="0" w:color="auto"/>
          <w:right w:val="single" w:sz="6" w:space="0" w:color="auto"/>
          <w:insideH w:val="single" w:sz="6" w:space="0" w:color="auto"/>
          <w:insideV w:val="single" w:sz="6" w:space="0" w:color="0000FF"/>
        </w:tblBorders>
        <w:tblLayout w:type="fixed"/>
        <w:tblLook w:val="04A0" w:firstRow="1" w:lastRow="0" w:firstColumn="1" w:lastColumn="0" w:noHBand="0" w:noVBand="1"/>
      </w:tblPr>
      <w:tblGrid>
        <w:gridCol w:w="4793"/>
        <w:gridCol w:w="4792"/>
      </w:tblGrid>
      <w:tr w:rsidR="00DA5728" w:rsidRPr="00BD5307" w14:paraId="0449BD4A" w14:textId="77777777" w:rsidTr="00004E63">
        <w:tc>
          <w:tcPr>
            <w:tcW w:w="9585" w:type="dxa"/>
            <w:gridSpan w:val="2"/>
            <w:tcBorders>
              <w:top w:val="single" w:sz="6" w:space="0" w:color="auto"/>
              <w:left w:val="single" w:sz="6" w:space="0" w:color="auto"/>
              <w:bottom w:val="single" w:sz="6" w:space="0" w:color="auto"/>
              <w:right w:val="single" w:sz="6" w:space="0" w:color="auto"/>
            </w:tcBorders>
            <w:shd w:val="clear" w:color="auto" w:fill="99FF66"/>
            <w:hideMark/>
          </w:tcPr>
          <w:p w14:paraId="1D9550CE" w14:textId="68E53876" w:rsidR="00DA5728" w:rsidRPr="00BD5307" w:rsidRDefault="00A5510C" w:rsidP="00004E63">
            <w:pPr>
              <w:pStyle w:val="Heading1"/>
              <w:spacing w:line="256" w:lineRule="auto"/>
              <w:rPr>
                <w:rFonts w:ascii="Helvetica Neue" w:eastAsiaTheme="minorHAnsi" w:hAnsi="Helvetica Neue"/>
              </w:rPr>
            </w:pPr>
            <w:bookmarkStart w:id="0" w:name="_Toc290042500"/>
            <w:bookmarkStart w:id="1" w:name="_Toc421177499"/>
            <w:r w:rsidRPr="00BD5307">
              <w:rPr>
                <w:rFonts w:ascii="Helvetica Neue" w:hAnsi="Helvetica Neue"/>
              </w:rPr>
              <w:t>Policy Development Coordinator</w:t>
            </w:r>
            <w:bookmarkEnd w:id="0"/>
            <w:bookmarkEnd w:id="1"/>
          </w:p>
        </w:tc>
      </w:tr>
      <w:tr w:rsidR="00DA5728" w:rsidRPr="00BD5307" w14:paraId="4D2EF653" w14:textId="77777777" w:rsidTr="00004E63">
        <w:tc>
          <w:tcPr>
            <w:tcW w:w="9585" w:type="dxa"/>
            <w:gridSpan w:val="2"/>
            <w:tcBorders>
              <w:top w:val="single" w:sz="6" w:space="0" w:color="auto"/>
              <w:left w:val="single" w:sz="6" w:space="0" w:color="auto"/>
              <w:bottom w:val="single" w:sz="6" w:space="0" w:color="auto"/>
              <w:right w:val="single" w:sz="6" w:space="0" w:color="auto"/>
            </w:tcBorders>
            <w:shd w:val="clear" w:color="auto" w:fill="99FF66"/>
            <w:hideMark/>
          </w:tcPr>
          <w:p w14:paraId="1BEF7A2E" w14:textId="77777777" w:rsidR="00DA5728" w:rsidRPr="00BD5307" w:rsidRDefault="00371174" w:rsidP="00BD5307">
            <w:pPr>
              <w:rPr>
                <w:rFonts w:ascii="Helvetica Neue" w:hAnsi="Helvetica Neue"/>
                <w:b/>
              </w:rPr>
            </w:pPr>
            <w:r w:rsidRPr="00BD5307">
              <w:rPr>
                <w:rFonts w:ascii="Helvetica Neue" w:hAnsi="Helvetica Neue"/>
                <w:b/>
              </w:rPr>
              <w:t>KEY PURPOSE</w:t>
            </w:r>
          </w:p>
        </w:tc>
      </w:tr>
      <w:tr w:rsidR="00371174" w:rsidRPr="00BD5307" w14:paraId="04EEDEDA" w14:textId="77777777" w:rsidTr="000A2235">
        <w:tc>
          <w:tcPr>
            <w:tcW w:w="9585" w:type="dxa"/>
            <w:gridSpan w:val="2"/>
            <w:tcBorders>
              <w:top w:val="single" w:sz="6" w:space="0" w:color="auto"/>
              <w:left w:val="single" w:sz="6" w:space="0" w:color="auto"/>
              <w:bottom w:val="single" w:sz="6" w:space="0" w:color="auto"/>
              <w:right w:val="single" w:sz="6" w:space="0" w:color="auto"/>
            </w:tcBorders>
            <w:shd w:val="clear" w:color="auto" w:fill="auto"/>
          </w:tcPr>
          <w:p w14:paraId="1DACB029" w14:textId="74E08FB4" w:rsidR="00371174" w:rsidRPr="00BD5307" w:rsidRDefault="00371174" w:rsidP="00BD5307">
            <w:pPr>
              <w:rPr>
                <w:rFonts w:ascii="Helvetica Neue" w:hAnsi="Helvetica Neue"/>
                <w:b/>
              </w:rPr>
            </w:pPr>
            <w:r w:rsidRPr="00BD5307">
              <w:rPr>
                <w:rFonts w:ascii="Helvetica Neue" w:hAnsi="Helvetica Neue"/>
              </w:rPr>
              <w:t>The role exists to</w:t>
            </w:r>
            <w:r w:rsidR="00EF3ADA" w:rsidRPr="00BD5307">
              <w:rPr>
                <w:rFonts w:ascii="Helvetica Neue" w:hAnsi="Helvetica Neue"/>
              </w:rPr>
              <w:t xml:space="preserve"> represent the members and to further the achievement of the Green Party’s objectives </w:t>
            </w:r>
            <w:r w:rsidR="00234557" w:rsidRPr="00BD5307">
              <w:rPr>
                <w:rFonts w:ascii="Helvetica Neue" w:hAnsi="Helvetica Neue"/>
              </w:rPr>
              <w:t>generally and</w:t>
            </w:r>
            <w:r w:rsidR="00E91AF3" w:rsidRPr="00BD5307">
              <w:rPr>
                <w:rFonts w:ascii="Helvetica Neue" w:hAnsi="Helvetica Neue"/>
              </w:rPr>
              <w:t xml:space="preserve"> specifically</w:t>
            </w:r>
            <w:r w:rsidR="00234557" w:rsidRPr="00BD5307">
              <w:rPr>
                <w:rFonts w:ascii="Helvetica Neue" w:hAnsi="Helvetica Neue"/>
              </w:rPr>
              <w:t xml:space="preserve"> </w:t>
            </w:r>
            <w:r w:rsidR="00EF3ADA" w:rsidRPr="00BD5307">
              <w:rPr>
                <w:rFonts w:ascii="Helvetica Neue" w:hAnsi="Helvetica Neue"/>
              </w:rPr>
              <w:t xml:space="preserve">through </w:t>
            </w:r>
            <w:r w:rsidR="00BE5818" w:rsidRPr="00BD5307">
              <w:rPr>
                <w:rFonts w:ascii="Helvetica Neue" w:hAnsi="Helvetica Neue"/>
              </w:rPr>
              <w:t>supporting the development of Policy through members and Conference</w:t>
            </w:r>
            <w:r w:rsidR="00A5510C" w:rsidRPr="00BD5307">
              <w:rPr>
                <w:rFonts w:ascii="Helvetica Neue" w:hAnsi="Helvetica Neue"/>
              </w:rPr>
              <w:t>.  The role holder will convene the Policy Development Committee.</w:t>
            </w:r>
          </w:p>
        </w:tc>
      </w:tr>
      <w:tr w:rsidR="00371174" w:rsidRPr="00BD5307" w14:paraId="13A319AA" w14:textId="77777777" w:rsidTr="00004E63">
        <w:tc>
          <w:tcPr>
            <w:tcW w:w="9585" w:type="dxa"/>
            <w:gridSpan w:val="2"/>
            <w:tcBorders>
              <w:top w:val="single" w:sz="6" w:space="0" w:color="auto"/>
              <w:left w:val="single" w:sz="6" w:space="0" w:color="auto"/>
              <w:bottom w:val="single" w:sz="6" w:space="0" w:color="auto"/>
              <w:right w:val="single" w:sz="6" w:space="0" w:color="auto"/>
            </w:tcBorders>
            <w:shd w:val="clear" w:color="auto" w:fill="99FF66"/>
          </w:tcPr>
          <w:p w14:paraId="5AE80F62" w14:textId="77777777" w:rsidR="00371174" w:rsidRPr="00BD5307" w:rsidRDefault="00371174" w:rsidP="00BD5307">
            <w:pPr>
              <w:rPr>
                <w:rFonts w:ascii="Helvetica Neue" w:hAnsi="Helvetica Neue"/>
                <w:b/>
              </w:rPr>
            </w:pPr>
            <w:r w:rsidRPr="00BD5307">
              <w:rPr>
                <w:rFonts w:ascii="Helvetica Neue" w:hAnsi="Helvetica Neue"/>
                <w:b/>
              </w:rPr>
              <w:t>ACCOUNTABILITY</w:t>
            </w:r>
          </w:p>
        </w:tc>
      </w:tr>
      <w:tr w:rsidR="00371174" w:rsidRPr="00BD5307" w14:paraId="3C80FD2C" w14:textId="77777777" w:rsidTr="000A2235">
        <w:tc>
          <w:tcPr>
            <w:tcW w:w="9585" w:type="dxa"/>
            <w:gridSpan w:val="2"/>
            <w:tcBorders>
              <w:top w:val="single" w:sz="6" w:space="0" w:color="auto"/>
              <w:left w:val="single" w:sz="6" w:space="0" w:color="auto"/>
              <w:bottom w:val="single" w:sz="6" w:space="0" w:color="auto"/>
              <w:right w:val="single" w:sz="6" w:space="0" w:color="auto"/>
            </w:tcBorders>
            <w:shd w:val="clear" w:color="auto" w:fill="auto"/>
          </w:tcPr>
          <w:p w14:paraId="0565A6D0" w14:textId="65F5D224" w:rsidR="00D85B35" w:rsidRPr="00BD5307" w:rsidRDefault="00261406" w:rsidP="00BD5307">
            <w:pPr>
              <w:spacing w:line="276" w:lineRule="auto"/>
              <w:rPr>
                <w:rFonts w:ascii="Helvetica Neue" w:eastAsia="Times New Roman" w:hAnsi="Helvetica Neue" w:cs="Times New Roman"/>
                <w:color w:val="000000" w:themeColor="text1"/>
              </w:rPr>
            </w:pPr>
            <w:r w:rsidRPr="00BD5307">
              <w:rPr>
                <w:rFonts w:ascii="Helvetica Neue" w:eastAsia="Times New Roman" w:hAnsi="Helvetica Neue" w:cs="Times New Roman"/>
                <w:color w:val="000000" w:themeColor="text1"/>
              </w:rPr>
              <w:t xml:space="preserve">As the </w:t>
            </w:r>
            <w:proofErr w:type="spellStart"/>
            <w:r w:rsidRPr="00BD5307">
              <w:rPr>
                <w:rFonts w:ascii="Helvetica Neue" w:eastAsia="Times New Roman" w:hAnsi="Helvetica Neue" w:cs="Times New Roman"/>
                <w:color w:val="000000" w:themeColor="text1"/>
              </w:rPr>
              <w:t>GPEx</w:t>
            </w:r>
            <w:proofErr w:type="spellEnd"/>
            <w:r w:rsidRPr="00BD5307">
              <w:rPr>
                <w:rFonts w:ascii="Helvetica Neue" w:eastAsia="Times New Roman" w:hAnsi="Helvetica Neue" w:cs="Times New Roman"/>
                <w:color w:val="000000" w:themeColor="text1"/>
              </w:rPr>
              <w:t xml:space="preserve"> is responsible and liable for the governance and functioning of the organisation, members are accountable in varying degrees to a variety of stakeholders, including: members</w:t>
            </w:r>
            <w:r w:rsidR="00BE5818" w:rsidRPr="00BD5307">
              <w:rPr>
                <w:rFonts w:ascii="Helvetica Neue" w:eastAsia="Times New Roman" w:hAnsi="Helvetica Neue" w:cs="Times New Roman"/>
                <w:color w:val="000000" w:themeColor="text1"/>
              </w:rPr>
              <w:t xml:space="preserve"> </w:t>
            </w:r>
            <w:r w:rsidRPr="00BD5307">
              <w:rPr>
                <w:rFonts w:ascii="Helvetica Neue" w:eastAsia="Times New Roman" w:hAnsi="Helvetica Neue" w:cs="Times New Roman"/>
                <w:color w:val="000000" w:themeColor="text1"/>
              </w:rPr>
              <w:t xml:space="preserve">and each other. </w:t>
            </w:r>
          </w:p>
          <w:p w14:paraId="33A0D7BB" w14:textId="42F67EA7" w:rsidR="004B1CFC" w:rsidRPr="00BD5307" w:rsidRDefault="00261406" w:rsidP="00BD5307">
            <w:pPr>
              <w:spacing w:line="276" w:lineRule="auto"/>
              <w:rPr>
                <w:rFonts w:ascii="Helvetica Neue" w:eastAsia="Times New Roman" w:hAnsi="Helvetica Neue" w:cs="Times New Roman"/>
                <w:color w:val="000000" w:themeColor="text1"/>
              </w:rPr>
            </w:pPr>
            <w:r w:rsidRPr="00BD5307">
              <w:rPr>
                <w:rFonts w:ascii="Helvetica Neue" w:eastAsia="Times New Roman" w:hAnsi="Helvetica Neue" w:cs="Times New Roman"/>
                <w:color w:val="000000" w:themeColor="text1"/>
              </w:rPr>
              <w:t xml:space="preserve">Furthermore, the GPEx members should take a lead on building public trust and confidence in the Party’s work through demonstrating good practice and good governance, taking into consideration the wider implications of the decisions you make, and to communicate widely the reasons behind such decisions or actions. </w:t>
            </w:r>
          </w:p>
        </w:tc>
      </w:tr>
      <w:tr w:rsidR="00371174" w:rsidRPr="00BD5307" w14:paraId="50C4DCD6" w14:textId="77777777" w:rsidTr="00004E63">
        <w:tc>
          <w:tcPr>
            <w:tcW w:w="9585" w:type="dxa"/>
            <w:gridSpan w:val="2"/>
            <w:tcBorders>
              <w:top w:val="single" w:sz="6" w:space="0" w:color="auto"/>
              <w:left w:val="single" w:sz="6" w:space="0" w:color="auto"/>
              <w:bottom w:val="single" w:sz="6" w:space="0" w:color="auto"/>
              <w:right w:val="single" w:sz="6" w:space="0" w:color="auto"/>
            </w:tcBorders>
            <w:shd w:val="clear" w:color="auto" w:fill="99FF66"/>
          </w:tcPr>
          <w:p w14:paraId="3B7D4B77" w14:textId="77777777" w:rsidR="00371174" w:rsidRPr="00BD5307" w:rsidRDefault="00371174" w:rsidP="00BD5307">
            <w:pPr>
              <w:rPr>
                <w:rFonts w:ascii="Helvetica Neue" w:hAnsi="Helvetica Neue"/>
                <w:b/>
              </w:rPr>
            </w:pPr>
            <w:r w:rsidRPr="00BD5307">
              <w:rPr>
                <w:rFonts w:ascii="Helvetica Neue" w:hAnsi="Helvetica Neue"/>
                <w:b/>
              </w:rPr>
              <w:t>ROLE SPECIFIC DUTIES</w:t>
            </w:r>
          </w:p>
        </w:tc>
      </w:tr>
      <w:tr w:rsidR="00A5510C" w:rsidRPr="00BD5307" w14:paraId="190ECF0A" w14:textId="77777777" w:rsidTr="00D85B35">
        <w:trPr>
          <w:trHeight w:val="7073"/>
        </w:trPr>
        <w:tc>
          <w:tcPr>
            <w:tcW w:w="9585" w:type="dxa"/>
            <w:gridSpan w:val="2"/>
            <w:tcBorders>
              <w:top w:val="single" w:sz="6" w:space="0" w:color="auto"/>
              <w:left w:val="single" w:sz="6" w:space="0" w:color="auto"/>
              <w:right w:val="single" w:sz="6" w:space="0" w:color="auto"/>
            </w:tcBorders>
            <w:shd w:val="clear" w:color="auto" w:fill="auto"/>
          </w:tcPr>
          <w:p w14:paraId="59FB1BA1" w14:textId="77777777" w:rsidR="00A5510C" w:rsidRPr="00BD5307" w:rsidRDefault="00A5510C" w:rsidP="00BD5307">
            <w:pPr>
              <w:rPr>
                <w:rFonts w:ascii="Helvetica Neue" w:hAnsi="Helvetica Neue"/>
              </w:rPr>
            </w:pPr>
            <w:r w:rsidRPr="00BD5307">
              <w:rPr>
                <w:rFonts w:ascii="Helvetica Neue" w:hAnsi="Helvetica Neue"/>
                <w:b/>
              </w:rPr>
              <w:t>Policy Development:</w:t>
            </w:r>
            <w:r w:rsidRPr="00BD5307">
              <w:rPr>
                <w:rFonts w:ascii="Helvetica Neue" w:hAnsi="Helvetica Neue"/>
              </w:rPr>
              <w:t xml:space="preserve">    </w:t>
            </w:r>
          </w:p>
          <w:p w14:paraId="115FD22C" w14:textId="5C355F9B" w:rsidR="00A5510C" w:rsidRPr="00BD5307" w:rsidRDefault="00A5510C" w:rsidP="00BD5307">
            <w:pPr>
              <w:rPr>
                <w:rFonts w:ascii="Helvetica Neue" w:hAnsi="Helvetica Neue"/>
              </w:rPr>
            </w:pPr>
            <w:r w:rsidRPr="00BD5307">
              <w:rPr>
                <w:rFonts w:ascii="Helvetica Neue" w:hAnsi="Helvetica Neue"/>
              </w:rPr>
              <w:t>Ensuring that policy development is informed by sources of policy thinking/</w:t>
            </w:r>
            <w:r w:rsidR="00200B23">
              <w:rPr>
                <w:rFonts w:ascii="Helvetica Neue" w:hAnsi="Helvetica Neue"/>
              </w:rPr>
              <w:t xml:space="preserve"> </w:t>
            </w:r>
            <w:r w:rsidRPr="00BD5307">
              <w:rPr>
                <w:rFonts w:ascii="Helvetica Neue" w:hAnsi="Helvetica Neue"/>
              </w:rPr>
              <w:t>development both within and outside the Green Party and the wider Green movement.</w:t>
            </w:r>
          </w:p>
          <w:p w14:paraId="08F2B0F9" w14:textId="77777777" w:rsidR="00A5510C" w:rsidRPr="00BD5307" w:rsidRDefault="00A5510C" w:rsidP="00BD5307">
            <w:pPr>
              <w:rPr>
                <w:rFonts w:ascii="Helvetica Neue" w:hAnsi="Helvetica Neue"/>
              </w:rPr>
            </w:pPr>
            <w:r w:rsidRPr="00BD5307">
              <w:rPr>
                <w:rFonts w:ascii="Helvetica Neue" w:hAnsi="Helvetica Neue"/>
              </w:rPr>
              <w:t>Ensuring that the Policy Development Committee:</w:t>
            </w:r>
          </w:p>
          <w:p w14:paraId="240E9DEE" w14:textId="7B789918" w:rsidR="00A5510C" w:rsidRPr="00BD5307" w:rsidRDefault="00A5510C" w:rsidP="00BD5307">
            <w:pPr>
              <w:pStyle w:val="ListParagraph"/>
              <w:numPr>
                <w:ilvl w:val="0"/>
                <w:numId w:val="5"/>
              </w:numPr>
              <w:rPr>
                <w:rFonts w:ascii="Helvetica Neue" w:hAnsi="Helvetica Neue"/>
              </w:rPr>
            </w:pPr>
            <w:r w:rsidRPr="00BD5307">
              <w:rPr>
                <w:rFonts w:ascii="Helvetica Neue" w:hAnsi="Helvetica Neue"/>
              </w:rPr>
              <w:t>manages the process of policy reviews.</w:t>
            </w:r>
          </w:p>
          <w:p w14:paraId="5FCD72EC" w14:textId="0811C042" w:rsidR="00A5510C" w:rsidRPr="00BD5307" w:rsidRDefault="00A5510C" w:rsidP="00BD5307">
            <w:pPr>
              <w:numPr>
                <w:ilvl w:val="0"/>
                <w:numId w:val="5"/>
              </w:numPr>
              <w:ind w:left="714" w:hanging="357"/>
              <w:rPr>
                <w:rFonts w:ascii="Helvetica Neue" w:hAnsi="Helvetica Neue"/>
              </w:rPr>
            </w:pPr>
            <w:r w:rsidRPr="00BD5307">
              <w:rPr>
                <w:rFonts w:ascii="Helvetica Neue" w:hAnsi="Helvetica Neue"/>
              </w:rPr>
              <w:t>provides feedback on policy motions to conference</w:t>
            </w:r>
          </w:p>
          <w:p w14:paraId="67BEC22A" w14:textId="2C095282" w:rsidR="00A5510C" w:rsidRPr="00BD5307" w:rsidRDefault="00A5510C" w:rsidP="00BD5307">
            <w:pPr>
              <w:numPr>
                <w:ilvl w:val="0"/>
                <w:numId w:val="5"/>
              </w:numPr>
              <w:ind w:left="714" w:hanging="357"/>
              <w:rPr>
                <w:rFonts w:ascii="Helvetica Neue" w:hAnsi="Helvetica Neue"/>
              </w:rPr>
            </w:pPr>
            <w:r w:rsidRPr="00BD5307">
              <w:rPr>
                <w:rFonts w:ascii="Helvetica Neue" w:hAnsi="Helvetica Neue"/>
              </w:rPr>
              <w:t>provides support for the policy process at conference, including the accreditation of relevant policy motions.</w:t>
            </w:r>
          </w:p>
          <w:p w14:paraId="1C2BBDD2" w14:textId="21DBCF26" w:rsidR="00A5510C" w:rsidRPr="00BD5307" w:rsidRDefault="00A5510C" w:rsidP="00BD5307">
            <w:pPr>
              <w:rPr>
                <w:rFonts w:ascii="Helvetica Neue" w:hAnsi="Helvetica Neue"/>
              </w:rPr>
            </w:pPr>
            <w:r w:rsidRPr="00BD5307">
              <w:rPr>
                <w:rFonts w:ascii="Helvetica Neue" w:hAnsi="Helvetica Neue"/>
              </w:rPr>
              <w:t>Providing guidance to members on policy development and adoption</w:t>
            </w:r>
            <w:r w:rsidR="00D85B35" w:rsidRPr="00BD5307">
              <w:rPr>
                <w:rFonts w:ascii="Helvetica Neue" w:hAnsi="Helvetica Neue"/>
              </w:rPr>
              <w:t>, linking members to staff as appropriate.</w:t>
            </w:r>
          </w:p>
          <w:p w14:paraId="2235139C" w14:textId="7DF9AF68" w:rsidR="00A5510C" w:rsidRPr="00BD5307" w:rsidRDefault="00A5510C" w:rsidP="00BD5307">
            <w:pPr>
              <w:pStyle w:val="ListParagraph"/>
              <w:ind w:left="31"/>
              <w:rPr>
                <w:rFonts w:ascii="Helvetica Neue" w:hAnsi="Helvetica Neue"/>
              </w:rPr>
            </w:pPr>
            <w:r w:rsidRPr="00BD5307">
              <w:rPr>
                <w:rFonts w:ascii="Helvetica Neue" w:hAnsi="Helvetica Neue"/>
              </w:rPr>
              <w:t>Ensuring that appropriate fora are available for policy development within the party</w:t>
            </w:r>
            <w:r w:rsidR="00D85B35" w:rsidRPr="00BD5307">
              <w:rPr>
                <w:rFonts w:ascii="Helvetica Neue" w:hAnsi="Helvetica Neue"/>
              </w:rPr>
              <w:t xml:space="preserve"> in support of a flow of thinking between local to national level.</w:t>
            </w:r>
          </w:p>
          <w:p w14:paraId="56D05524" w14:textId="3E2A465F" w:rsidR="00D85B35" w:rsidRPr="00BD5307" w:rsidRDefault="00A5510C" w:rsidP="00BD5307">
            <w:pPr>
              <w:pStyle w:val="ListParagraph"/>
              <w:ind w:left="31"/>
              <w:rPr>
                <w:rFonts w:ascii="Helvetica Neue" w:hAnsi="Helvetica Neue"/>
              </w:rPr>
            </w:pPr>
            <w:r w:rsidRPr="00BD5307">
              <w:rPr>
                <w:rFonts w:ascii="Helvetica Neue" w:hAnsi="Helvetica Neue"/>
                <w:b/>
              </w:rPr>
              <w:t xml:space="preserve">Policy Materials and Publications:  </w:t>
            </w:r>
            <w:r w:rsidR="00D85B35" w:rsidRPr="00BD5307">
              <w:rPr>
                <w:rFonts w:ascii="Helvetica Neue" w:hAnsi="Helvetica Neue"/>
              </w:rPr>
              <w:t>Ensuring that</w:t>
            </w:r>
            <w:r w:rsidR="00D85B35" w:rsidRPr="00BD5307">
              <w:rPr>
                <w:rFonts w:ascii="Helvetica Neue" w:hAnsi="Helvetica Neue"/>
                <w:b/>
              </w:rPr>
              <w:t xml:space="preserve"> </w:t>
            </w:r>
            <w:r w:rsidRPr="00BD5307">
              <w:rPr>
                <w:rFonts w:ascii="Helvetica Neue" w:hAnsi="Helvetica Neue"/>
              </w:rPr>
              <w:t>policy materials</w:t>
            </w:r>
            <w:r w:rsidR="00D85B35" w:rsidRPr="00BD5307">
              <w:rPr>
                <w:rFonts w:ascii="Helvetica Neue" w:hAnsi="Helvetica Neue"/>
              </w:rPr>
              <w:t xml:space="preserve"> and developed</w:t>
            </w:r>
            <w:r w:rsidRPr="00BD5307">
              <w:rPr>
                <w:rFonts w:ascii="Helvetica Neue" w:hAnsi="Helvetica Neue"/>
              </w:rPr>
              <w:t xml:space="preserve"> and that national party publications accurately reflect party policy</w:t>
            </w:r>
            <w:r w:rsidR="00D85B35" w:rsidRPr="00BD5307">
              <w:rPr>
                <w:rFonts w:ascii="Helvetica Neue" w:hAnsi="Helvetica Neue"/>
              </w:rPr>
              <w:t>.</w:t>
            </w:r>
          </w:p>
          <w:p w14:paraId="37F319B1" w14:textId="37E791F5" w:rsidR="00D85B35" w:rsidRPr="00BD5307" w:rsidRDefault="00A5510C" w:rsidP="00BD5307">
            <w:pPr>
              <w:pStyle w:val="ListParagraph"/>
              <w:ind w:left="31"/>
              <w:rPr>
                <w:rFonts w:ascii="Helvetica Neue" w:hAnsi="Helvetica Neue"/>
              </w:rPr>
            </w:pPr>
            <w:r w:rsidRPr="00BD5307">
              <w:rPr>
                <w:rFonts w:ascii="Helvetica Neue" w:hAnsi="Helvetica Neue"/>
                <w:b/>
              </w:rPr>
              <w:t xml:space="preserve">Policy Research:  </w:t>
            </w:r>
            <w:r w:rsidR="00D85B35" w:rsidRPr="00BD5307">
              <w:rPr>
                <w:rFonts w:ascii="Helvetica Neue" w:hAnsi="Helvetica Neue"/>
              </w:rPr>
              <w:t>Ensuring that</w:t>
            </w:r>
            <w:r w:rsidR="00D85B35" w:rsidRPr="00BD5307">
              <w:rPr>
                <w:rFonts w:ascii="Helvetica Neue" w:hAnsi="Helvetica Neue"/>
                <w:b/>
              </w:rPr>
              <w:t xml:space="preserve"> </w:t>
            </w:r>
            <w:r w:rsidRPr="00BD5307">
              <w:rPr>
                <w:rFonts w:ascii="Helvetica Neue" w:hAnsi="Helvetica Neue"/>
              </w:rPr>
              <w:t xml:space="preserve">policy research </w:t>
            </w:r>
            <w:r w:rsidR="00D85B35" w:rsidRPr="00BD5307">
              <w:rPr>
                <w:rFonts w:ascii="Helvetica Neue" w:hAnsi="Helvetica Neue"/>
              </w:rPr>
              <w:t xml:space="preserve">is carried out and working with staff as </w:t>
            </w:r>
            <w:r w:rsidRPr="00BD5307">
              <w:rPr>
                <w:rFonts w:ascii="Helvetica Neue" w:hAnsi="Helvetica Neue"/>
              </w:rPr>
              <w:t>appropriate to the individual’s expertise</w:t>
            </w:r>
            <w:r w:rsidR="00D85B35" w:rsidRPr="00BD5307">
              <w:rPr>
                <w:rFonts w:ascii="Helvetica Neue" w:hAnsi="Helvetica Neue"/>
              </w:rPr>
              <w:t>.</w:t>
            </w:r>
          </w:p>
          <w:p w14:paraId="528CE290" w14:textId="05204FEE" w:rsidR="00D85B35" w:rsidRPr="00BD5307" w:rsidRDefault="00A5510C" w:rsidP="00BD5307">
            <w:pPr>
              <w:pStyle w:val="ListParagraph"/>
              <w:ind w:left="31"/>
              <w:rPr>
                <w:rFonts w:ascii="Helvetica Neue" w:hAnsi="Helvetica Neue"/>
              </w:rPr>
            </w:pPr>
            <w:r w:rsidRPr="00BD5307">
              <w:rPr>
                <w:rFonts w:ascii="Helvetica Neue" w:hAnsi="Helvetica Neue"/>
                <w:b/>
              </w:rPr>
              <w:t>Policy Community:</w:t>
            </w:r>
            <w:r w:rsidRPr="00BD5307">
              <w:rPr>
                <w:rFonts w:ascii="Helvetica Neue" w:hAnsi="Helvetica Neue"/>
              </w:rPr>
              <w:t xml:space="preserve">  Recruiting and coordinating a Policy Community, particularly through Policy Working Groups</w:t>
            </w:r>
            <w:r w:rsidR="00D85B35" w:rsidRPr="00BD5307">
              <w:rPr>
                <w:rFonts w:ascii="Helvetica Neue" w:hAnsi="Helvetica Neue"/>
              </w:rPr>
              <w:t>.</w:t>
            </w:r>
          </w:p>
          <w:p w14:paraId="46F8A3BF" w14:textId="610F0816" w:rsidR="00A5510C" w:rsidRPr="00BD5307" w:rsidRDefault="00A5510C" w:rsidP="00BD5307">
            <w:pPr>
              <w:pStyle w:val="ListParagraph"/>
              <w:ind w:left="31"/>
              <w:rPr>
                <w:rFonts w:ascii="Helvetica Neue" w:hAnsi="Helvetica Neue"/>
              </w:rPr>
            </w:pPr>
            <w:r w:rsidRPr="00BD5307">
              <w:rPr>
                <w:rFonts w:ascii="Helvetica Neue" w:hAnsi="Helvetica Neue"/>
                <w:b/>
              </w:rPr>
              <w:t>Committee Responsibilities:</w:t>
            </w:r>
            <w:r w:rsidRPr="00BD5307">
              <w:rPr>
                <w:rFonts w:ascii="Helvetica Neue" w:hAnsi="Helvetica Neue"/>
              </w:rPr>
              <w:t xml:space="preserve">  The Policy Development Coordinator </w:t>
            </w:r>
            <w:r w:rsidR="00D85B35" w:rsidRPr="00BD5307">
              <w:rPr>
                <w:rFonts w:ascii="Helvetica Neue" w:hAnsi="Helvetica Neue"/>
              </w:rPr>
              <w:t xml:space="preserve">convenes the Policy Development Committee and is also </w:t>
            </w:r>
            <w:r w:rsidRPr="00BD5307">
              <w:rPr>
                <w:rFonts w:ascii="Helvetica Neue" w:hAnsi="Helvetica Neue"/>
              </w:rPr>
              <w:t>a member of Political Committee.</w:t>
            </w:r>
          </w:p>
          <w:p w14:paraId="55280502" w14:textId="18B612EE" w:rsidR="00D85B35" w:rsidRPr="00BD5307" w:rsidRDefault="00A5510C" w:rsidP="00BD5307">
            <w:pPr>
              <w:rPr>
                <w:rFonts w:ascii="Helvetica Neue" w:hAnsi="Helvetica Neue"/>
              </w:rPr>
            </w:pPr>
            <w:r w:rsidRPr="00BD5307">
              <w:rPr>
                <w:rFonts w:ascii="Helvetica Neue" w:hAnsi="Helvetica Neue"/>
                <w:b/>
              </w:rPr>
              <w:t>Relationships With Other Parts of the Green Party:</w:t>
            </w:r>
            <w:r w:rsidRPr="00BD5307">
              <w:rPr>
                <w:rFonts w:ascii="Helvetica Neue" w:hAnsi="Helvetica Neue"/>
              </w:rPr>
              <w:t xml:space="preserve">  Providing support for elected members on policy matters.</w:t>
            </w:r>
          </w:p>
          <w:p w14:paraId="436B3D27" w14:textId="1E037CB4" w:rsidR="00D85B35" w:rsidRPr="00BD5307" w:rsidRDefault="00A5510C" w:rsidP="00BD5307">
            <w:pPr>
              <w:pStyle w:val="ListParagraph"/>
              <w:ind w:left="31"/>
              <w:rPr>
                <w:rFonts w:ascii="Helvetica Neue" w:hAnsi="Helvetica Neue"/>
              </w:rPr>
            </w:pPr>
            <w:r w:rsidRPr="00BD5307">
              <w:rPr>
                <w:rFonts w:ascii="Helvetica Neue" w:hAnsi="Helvetica Neue"/>
              </w:rPr>
              <w:t>Ensuring that the online Policies for a Sustainable Society and Record of Policy Statements are up to date</w:t>
            </w:r>
            <w:r w:rsidR="00D85B35" w:rsidRPr="00BD5307">
              <w:rPr>
                <w:rFonts w:ascii="Helvetica Neue" w:hAnsi="Helvetica Neue"/>
              </w:rPr>
              <w:t>.</w:t>
            </w:r>
          </w:p>
          <w:p w14:paraId="42BE494C" w14:textId="3E9A73DE" w:rsidR="00A5510C" w:rsidRPr="00BD5307" w:rsidRDefault="00A5510C" w:rsidP="00BD5307">
            <w:pPr>
              <w:pStyle w:val="ListParagraph"/>
              <w:ind w:left="31"/>
              <w:rPr>
                <w:rFonts w:ascii="Helvetica Neue" w:hAnsi="Helvetica Neue"/>
              </w:rPr>
            </w:pPr>
            <w:r w:rsidRPr="00BD5307">
              <w:rPr>
                <w:rFonts w:ascii="Helvetica Neue" w:hAnsi="Helvetica Neue"/>
                <w:b/>
              </w:rPr>
              <w:t xml:space="preserve">Relationships Outside the Green Party: </w:t>
            </w:r>
            <w:r w:rsidRPr="00BD5307">
              <w:rPr>
                <w:rFonts w:ascii="Helvetica Neue" w:hAnsi="Helvetica Neue"/>
              </w:rPr>
              <w:t>Liaison with</w:t>
            </w:r>
            <w:r w:rsidRPr="00BD5307">
              <w:rPr>
                <w:rFonts w:ascii="Helvetica Neue" w:hAnsi="Helvetica Neue"/>
                <w:b/>
              </w:rPr>
              <w:t xml:space="preserve"> </w:t>
            </w:r>
            <w:r w:rsidRPr="00BD5307">
              <w:rPr>
                <w:rFonts w:ascii="Helvetica Neue" w:hAnsi="Helvetica Neue"/>
              </w:rPr>
              <w:t>charities, research organisations, think tanks and campaign groups to help inform wider policy community.</w:t>
            </w:r>
          </w:p>
        </w:tc>
      </w:tr>
      <w:tr w:rsidR="00A5510C" w:rsidRPr="00BD5307" w14:paraId="18FC9DCD" w14:textId="77777777" w:rsidTr="00004E63">
        <w:tc>
          <w:tcPr>
            <w:tcW w:w="9585" w:type="dxa"/>
            <w:gridSpan w:val="2"/>
            <w:tcBorders>
              <w:top w:val="single" w:sz="6" w:space="0" w:color="auto"/>
              <w:left w:val="single" w:sz="6" w:space="0" w:color="auto"/>
              <w:bottom w:val="single" w:sz="6" w:space="0" w:color="auto"/>
              <w:right w:val="single" w:sz="6" w:space="0" w:color="auto"/>
            </w:tcBorders>
            <w:shd w:val="clear" w:color="auto" w:fill="99FF66"/>
          </w:tcPr>
          <w:p w14:paraId="682971B8" w14:textId="67D470D3" w:rsidR="00A5510C" w:rsidRPr="00BD5307" w:rsidRDefault="00A5510C" w:rsidP="00BD5307">
            <w:pPr>
              <w:rPr>
                <w:rFonts w:ascii="Helvetica Neue" w:hAnsi="Helvetica Neue"/>
                <w:b/>
              </w:rPr>
            </w:pPr>
            <w:r w:rsidRPr="00BD5307">
              <w:rPr>
                <w:rFonts w:ascii="Helvetica Neue" w:hAnsi="Helvetica Neue"/>
                <w:b/>
              </w:rPr>
              <w:t>ROLE SPECIFIC SKILLS, KNOWLEDGE, AND EXPERIENCE</w:t>
            </w:r>
          </w:p>
        </w:tc>
      </w:tr>
      <w:tr w:rsidR="00D0177F" w:rsidRPr="00BD5307" w14:paraId="2F0AA994" w14:textId="77777777" w:rsidTr="000A2235">
        <w:tc>
          <w:tcPr>
            <w:tcW w:w="9585" w:type="dxa"/>
            <w:gridSpan w:val="2"/>
            <w:tcBorders>
              <w:top w:val="single" w:sz="6" w:space="0" w:color="auto"/>
              <w:left w:val="single" w:sz="6" w:space="0" w:color="auto"/>
              <w:bottom w:val="single" w:sz="6" w:space="0" w:color="auto"/>
              <w:right w:val="single" w:sz="6" w:space="0" w:color="auto"/>
            </w:tcBorders>
            <w:shd w:val="clear" w:color="auto" w:fill="auto"/>
          </w:tcPr>
          <w:p w14:paraId="7B3895D5" w14:textId="7FD69C47" w:rsidR="00D0177F" w:rsidRPr="00BD5307" w:rsidRDefault="00D0177F" w:rsidP="00BD5307">
            <w:pPr>
              <w:rPr>
                <w:rFonts w:ascii="Helvetica Neue" w:hAnsi="Helvetica Neue"/>
              </w:rPr>
            </w:pPr>
            <w:r w:rsidRPr="00BD5307">
              <w:rPr>
                <w:rFonts w:ascii="Helvetica Neue" w:hAnsi="Helvetica Neue"/>
              </w:rPr>
              <w:t>A good understanding of Green Party policy.</w:t>
            </w:r>
          </w:p>
          <w:p w14:paraId="2E3E81EA" w14:textId="67365311" w:rsidR="00D0177F" w:rsidRPr="00BD5307" w:rsidRDefault="00D0177F" w:rsidP="00BD5307">
            <w:pPr>
              <w:pStyle w:val="NormalWeb"/>
              <w:spacing w:before="0" w:beforeAutospacing="0" w:after="0" w:afterAutospacing="0"/>
              <w:textAlignment w:val="baseline"/>
              <w:rPr>
                <w:rFonts w:ascii="Helvetica Neue" w:hAnsi="Helvetica Neue" w:cs="Arial"/>
                <w:color w:val="000000"/>
              </w:rPr>
            </w:pPr>
            <w:r w:rsidRPr="00BD5307">
              <w:rPr>
                <w:rFonts w:ascii="Helvetica Neue" w:hAnsi="Helvetica Neue"/>
              </w:rPr>
              <w:lastRenderedPageBreak/>
              <w:t>A good background in policy development.</w:t>
            </w:r>
          </w:p>
        </w:tc>
      </w:tr>
      <w:tr w:rsidR="00D0177F" w:rsidRPr="00BD5307" w14:paraId="72B8DDA1" w14:textId="77777777" w:rsidTr="00D0177F">
        <w:tc>
          <w:tcPr>
            <w:tcW w:w="9585" w:type="dxa"/>
            <w:gridSpan w:val="2"/>
            <w:tcBorders>
              <w:top w:val="single" w:sz="6" w:space="0" w:color="auto"/>
              <w:left w:val="single" w:sz="6" w:space="0" w:color="auto"/>
              <w:bottom w:val="single" w:sz="6" w:space="0" w:color="auto"/>
              <w:right w:val="single" w:sz="6" w:space="0" w:color="auto"/>
            </w:tcBorders>
            <w:shd w:val="clear" w:color="auto" w:fill="99FF66"/>
          </w:tcPr>
          <w:p w14:paraId="10644BB3" w14:textId="52C3B14E" w:rsidR="00D0177F" w:rsidRPr="00BD5307" w:rsidRDefault="00D0177F" w:rsidP="00BD5307">
            <w:pPr>
              <w:rPr>
                <w:rFonts w:ascii="Helvetica Neue" w:hAnsi="Helvetica Neue"/>
                <w:b/>
              </w:rPr>
            </w:pPr>
            <w:r w:rsidRPr="00BD5307">
              <w:rPr>
                <w:rFonts w:ascii="Helvetica Neue" w:hAnsi="Helvetica Neue"/>
                <w:b/>
              </w:rPr>
              <w:lastRenderedPageBreak/>
              <w:t>ADDITIONAL INFORMATION</w:t>
            </w:r>
          </w:p>
        </w:tc>
      </w:tr>
      <w:tr w:rsidR="00D0177F" w:rsidRPr="00BD5307" w14:paraId="42AD5E91" w14:textId="77777777" w:rsidTr="00D0177F">
        <w:tc>
          <w:tcPr>
            <w:tcW w:w="9585" w:type="dxa"/>
            <w:gridSpan w:val="2"/>
            <w:tcBorders>
              <w:top w:val="single" w:sz="6" w:space="0" w:color="auto"/>
              <w:left w:val="single" w:sz="6" w:space="0" w:color="auto"/>
              <w:bottom w:val="single" w:sz="4" w:space="0" w:color="auto"/>
              <w:right w:val="single" w:sz="6" w:space="0" w:color="auto"/>
            </w:tcBorders>
            <w:shd w:val="clear" w:color="auto" w:fill="auto"/>
          </w:tcPr>
          <w:p w14:paraId="3875D394" w14:textId="77777777" w:rsidR="00D0177F" w:rsidRPr="00BD5307" w:rsidRDefault="00D0177F" w:rsidP="00BD5307">
            <w:pPr>
              <w:rPr>
                <w:rFonts w:ascii="Helvetica Neue" w:hAnsi="Helvetica Neue"/>
                <w:b/>
              </w:rPr>
            </w:pPr>
            <w:r w:rsidRPr="00BD5307">
              <w:rPr>
                <w:rFonts w:ascii="Helvetica Neue" w:hAnsi="Helvetica Neue"/>
                <w:b/>
              </w:rPr>
              <w:t xml:space="preserve">Constitutional definition (Section 13 (i) of Policy Development Committee: </w:t>
            </w:r>
          </w:p>
          <w:p w14:paraId="1B42B13B" w14:textId="77777777" w:rsidR="00D0177F" w:rsidRPr="00BD5307" w:rsidRDefault="00D0177F" w:rsidP="00BD5307">
            <w:pPr>
              <w:rPr>
                <w:rFonts w:ascii="Helvetica Neue" w:hAnsi="Helvetica Neue"/>
              </w:rPr>
            </w:pPr>
            <w:r w:rsidRPr="00BD5307">
              <w:rPr>
                <w:rFonts w:ascii="Helvetica Neue" w:hAnsi="Helvetica Neue"/>
              </w:rPr>
              <w:t>13(i)  There shall be a Green Party Policy Development Committee (hereinafter referred to as the PDC) which should be convened by the Policy Development Co-ordinator and which shall be responsible for providing for consideration by the Party the best available policy options consistent with the Philosophical Basis. The Policy Development Committee shall include five members elected by ballot of the entire membership, usually at the same time as the ballot for the membership of the Executive is held. Up to an additional five non-voting members may be co-opted by the elected Committee.  This co-option shall take place after an annual skills audit carried out immediately following the election of the elected members, and will take account of</w:t>
            </w:r>
          </w:p>
          <w:p w14:paraId="6895DD74" w14:textId="77777777" w:rsidR="00D0177F" w:rsidRPr="00BD5307" w:rsidRDefault="00D0177F" w:rsidP="00BD5307">
            <w:pPr>
              <w:pStyle w:val="ListParagraph"/>
              <w:numPr>
                <w:ilvl w:val="0"/>
                <w:numId w:val="6"/>
              </w:numPr>
              <w:spacing w:line="276" w:lineRule="auto"/>
              <w:rPr>
                <w:rFonts w:ascii="Helvetica Neue" w:hAnsi="Helvetica Neue"/>
              </w:rPr>
            </w:pPr>
            <w:r w:rsidRPr="00BD5307">
              <w:rPr>
                <w:rFonts w:ascii="Helvetica Neue" w:hAnsi="Helvetica Neue"/>
              </w:rPr>
              <w:t>the views of Equality and Diversity Committee</w:t>
            </w:r>
          </w:p>
          <w:p w14:paraId="585D8DBF" w14:textId="77777777" w:rsidR="00D0177F" w:rsidRPr="00BD5307" w:rsidRDefault="00D0177F" w:rsidP="00BD5307">
            <w:pPr>
              <w:pStyle w:val="ListParagraph"/>
              <w:numPr>
                <w:ilvl w:val="0"/>
                <w:numId w:val="6"/>
              </w:numPr>
              <w:spacing w:line="276" w:lineRule="auto"/>
              <w:rPr>
                <w:rFonts w:ascii="Helvetica Neue" w:hAnsi="Helvetica Neue"/>
              </w:rPr>
            </w:pPr>
            <w:r w:rsidRPr="00BD5307">
              <w:rPr>
                <w:rFonts w:ascii="Helvetica Neue" w:hAnsi="Helvetica Neue"/>
              </w:rPr>
              <w:t>the views of relevant special interest groups within the party</w:t>
            </w:r>
          </w:p>
          <w:p w14:paraId="1813B3BA" w14:textId="77777777" w:rsidR="00D0177F" w:rsidRPr="00BD5307" w:rsidRDefault="00D0177F" w:rsidP="00BD5307">
            <w:pPr>
              <w:pStyle w:val="ListParagraph"/>
              <w:numPr>
                <w:ilvl w:val="0"/>
                <w:numId w:val="6"/>
              </w:numPr>
              <w:spacing w:line="276" w:lineRule="auto"/>
              <w:rPr>
                <w:rFonts w:ascii="Helvetica Neue" w:hAnsi="Helvetica Neue"/>
              </w:rPr>
            </w:pPr>
            <w:r w:rsidRPr="00BD5307">
              <w:rPr>
                <w:rFonts w:ascii="Helvetica Neue" w:hAnsi="Helvetica Neue"/>
              </w:rPr>
              <w:t>the views of the Association of Green Councillors,</w:t>
            </w:r>
          </w:p>
          <w:p w14:paraId="46E2AA28" w14:textId="77777777" w:rsidR="00D0177F" w:rsidRPr="00BD5307" w:rsidRDefault="00D0177F" w:rsidP="00BD5307">
            <w:pPr>
              <w:rPr>
                <w:rFonts w:ascii="Helvetica Neue" w:hAnsi="Helvetica Neue"/>
              </w:rPr>
            </w:pPr>
            <w:r w:rsidRPr="00BD5307">
              <w:rPr>
                <w:rFonts w:ascii="Helvetica Neue" w:hAnsi="Helvetica Neue"/>
              </w:rPr>
              <w:t>and should ensure that at least two members of the Committee have direct experience of serving as a principal authority councillor.</w:t>
            </w:r>
          </w:p>
          <w:p w14:paraId="00A6943B" w14:textId="77777777" w:rsidR="00D0177F" w:rsidRPr="00BD5307" w:rsidRDefault="00D0177F" w:rsidP="00BD5307">
            <w:pPr>
              <w:rPr>
                <w:rFonts w:ascii="Helvetica Neue" w:hAnsi="Helvetica Neue"/>
              </w:rPr>
            </w:pPr>
            <w:r w:rsidRPr="00BD5307">
              <w:rPr>
                <w:rFonts w:ascii="Helvetica Neue" w:hAnsi="Helvetica Neue"/>
              </w:rPr>
              <w:t>The PDC shall be responsible for enabling, co-ordinating and promoting policy formulation for the Green party. The PDC shall submit a written report to each Conference.</w:t>
            </w:r>
          </w:p>
          <w:p w14:paraId="5CE7C640" w14:textId="11914ACB" w:rsidR="00D0177F" w:rsidRPr="00BD5307" w:rsidRDefault="00D0177F" w:rsidP="00BD5307">
            <w:pPr>
              <w:rPr>
                <w:rFonts w:ascii="Helvetica Neue" w:hAnsi="Helvetica Neue"/>
                <w:b/>
              </w:rPr>
            </w:pPr>
            <w:r w:rsidRPr="00BD5307">
              <w:rPr>
                <w:rFonts w:ascii="Helvetica Neue" w:hAnsi="Helvetica Neue"/>
                <w:b/>
              </w:rPr>
              <w:t>For further information on the role of Policy Development Committee, please see section 13 of the Green Party Constitution, and Standing Orders for the Conduct of Conference, in particular Appendix A.</w:t>
            </w:r>
          </w:p>
        </w:tc>
      </w:tr>
      <w:tr w:rsidR="00D0177F" w:rsidRPr="00BD5307" w14:paraId="0B9E8F6E" w14:textId="77777777" w:rsidTr="00D0177F">
        <w:tc>
          <w:tcPr>
            <w:tcW w:w="9585" w:type="dxa"/>
            <w:gridSpan w:val="2"/>
            <w:tcBorders>
              <w:top w:val="single" w:sz="4" w:space="0" w:color="auto"/>
              <w:left w:val="single" w:sz="6" w:space="0" w:color="auto"/>
              <w:bottom w:val="single" w:sz="6" w:space="0" w:color="auto"/>
              <w:right w:val="single" w:sz="6" w:space="0" w:color="auto"/>
            </w:tcBorders>
            <w:shd w:val="clear" w:color="auto" w:fill="99FF66"/>
          </w:tcPr>
          <w:p w14:paraId="471855C0" w14:textId="77777777" w:rsidR="00D0177F" w:rsidRPr="00BD5307" w:rsidRDefault="00D0177F" w:rsidP="00BD5307">
            <w:pPr>
              <w:rPr>
                <w:rFonts w:ascii="Helvetica Neue" w:hAnsi="Helvetica Neue"/>
                <w:b/>
              </w:rPr>
            </w:pPr>
            <w:r w:rsidRPr="00BD5307">
              <w:rPr>
                <w:rFonts w:ascii="Helvetica Neue" w:hAnsi="Helvetica Neue"/>
                <w:b/>
              </w:rPr>
              <w:t>BEHAVIOURAL STANDARDS</w:t>
            </w:r>
          </w:p>
        </w:tc>
      </w:tr>
      <w:tr w:rsidR="00D0177F" w:rsidRPr="00BD5307" w14:paraId="2855E4C9" w14:textId="77777777" w:rsidTr="000A2235">
        <w:tc>
          <w:tcPr>
            <w:tcW w:w="9585" w:type="dxa"/>
            <w:gridSpan w:val="2"/>
            <w:tcBorders>
              <w:top w:val="single" w:sz="6" w:space="0" w:color="auto"/>
              <w:left w:val="single" w:sz="6" w:space="0" w:color="auto"/>
              <w:bottom w:val="single" w:sz="6" w:space="0" w:color="auto"/>
              <w:right w:val="single" w:sz="6" w:space="0" w:color="auto"/>
            </w:tcBorders>
            <w:shd w:val="clear" w:color="auto" w:fill="auto"/>
          </w:tcPr>
          <w:p w14:paraId="5CF118EB" w14:textId="1C68B1E0" w:rsidR="00D0177F" w:rsidRPr="00BD5307" w:rsidRDefault="00D0177F" w:rsidP="00BD5307">
            <w:pPr>
              <w:rPr>
                <w:rFonts w:ascii="Helvetica Neue" w:hAnsi="Helvetica Neue"/>
              </w:rPr>
            </w:pPr>
            <w:r w:rsidRPr="00BD5307">
              <w:rPr>
                <w:rFonts w:ascii="Helvetica Neue" w:hAnsi="Helvetica Neue"/>
                <w:color w:val="000000" w:themeColor="text1"/>
              </w:rPr>
              <w:t>All members of GPEx are expected to adhere to the Code of Conduct and operate in a way that upholds the Values of the Party and supports the Philosophical Basis on which it is built.</w:t>
            </w:r>
          </w:p>
        </w:tc>
      </w:tr>
      <w:tr w:rsidR="00D0177F" w:rsidRPr="00BD5307" w14:paraId="093E9E0A" w14:textId="77777777" w:rsidTr="00004E63">
        <w:tc>
          <w:tcPr>
            <w:tcW w:w="9585" w:type="dxa"/>
            <w:gridSpan w:val="2"/>
            <w:tcBorders>
              <w:top w:val="single" w:sz="6" w:space="0" w:color="auto"/>
              <w:left w:val="single" w:sz="6" w:space="0" w:color="auto"/>
              <w:bottom w:val="single" w:sz="6" w:space="0" w:color="auto"/>
              <w:right w:val="single" w:sz="6" w:space="0" w:color="auto"/>
            </w:tcBorders>
            <w:hideMark/>
          </w:tcPr>
          <w:p w14:paraId="0236BEB4" w14:textId="77777777" w:rsidR="00D0177F" w:rsidRPr="00BD5307" w:rsidRDefault="00D0177F" w:rsidP="00BD5307">
            <w:pPr>
              <w:rPr>
                <w:rFonts w:ascii="Helvetica Neue" w:hAnsi="Helvetica Neue"/>
              </w:rPr>
            </w:pPr>
          </w:p>
        </w:tc>
      </w:tr>
      <w:tr w:rsidR="00D0177F" w:rsidRPr="00BD5307" w14:paraId="6B47FC91" w14:textId="77777777" w:rsidTr="000A2235">
        <w:tblPrEx>
          <w:tblBorders>
            <w:top w:val="single" w:sz="12" w:space="0" w:color="auto"/>
            <w:left w:val="single" w:sz="12" w:space="0" w:color="auto"/>
            <w:bottom w:val="single" w:sz="12" w:space="0" w:color="auto"/>
            <w:right w:val="single" w:sz="12" w:space="0" w:color="auto"/>
            <w:insideV w:val="single" w:sz="6" w:space="0" w:color="auto"/>
          </w:tblBorders>
        </w:tblPrEx>
        <w:trPr>
          <w:trHeight w:val="357"/>
        </w:trPr>
        <w:tc>
          <w:tcPr>
            <w:tcW w:w="9585" w:type="dxa"/>
            <w:gridSpan w:val="2"/>
            <w:tcBorders>
              <w:top w:val="single" w:sz="6" w:space="0" w:color="auto"/>
              <w:left w:val="single" w:sz="6" w:space="0" w:color="auto"/>
              <w:bottom w:val="single" w:sz="6" w:space="0" w:color="auto"/>
              <w:right w:val="single" w:sz="6" w:space="0" w:color="auto"/>
            </w:tcBorders>
            <w:shd w:val="clear" w:color="auto" w:fill="99FF66"/>
            <w:hideMark/>
          </w:tcPr>
          <w:p w14:paraId="4241A447" w14:textId="77777777" w:rsidR="00D0177F" w:rsidRPr="00BD5307" w:rsidRDefault="00D0177F" w:rsidP="00BD5307">
            <w:pPr>
              <w:rPr>
                <w:rFonts w:ascii="Helvetica Neue" w:hAnsi="Helvetica Neue"/>
                <w:b/>
              </w:rPr>
            </w:pPr>
            <w:r w:rsidRPr="00BD5307">
              <w:rPr>
                <w:rFonts w:ascii="Helvetica Neue" w:hAnsi="Helvetica Neue"/>
                <w:b/>
              </w:rPr>
              <w:t>Role description review</w:t>
            </w:r>
          </w:p>
        </w:tc>
      </w:tr>
      <w:tr w:rsidR="00D0177F" w:rsidRPr="00BD5307" w14:paraId="7F38E2AD" w14:textId="77777777" w:rsidTr="000A2235">
        <w:tblPrEx>
          <w:tblBorders>
            <w:top w:val="single" w:sz="12" w:space="0" w:color="auto"/>
            <w:left w:val="single" w:sz="12" w:space="0" w:color="auto"/>
            <w:bottom w:val="single" w:sz="12" w:space="0" w:color="auto"/>
            <w:right w:val="single" w:sz="12" w:space="0" w:color="auto"/>
            <w:insideV w:val="single" w:sz="6" w:space="0" w:color="auto"/>
          </w:tblBorders>
        </w:tblPrEx>
        <w:tc>
          <w:tcPr>
            <w:tcW w:w="9585" w:type="dxa"/>
            <w:gridSpan w:val="2"/>
            <w:tcBorders>
              <w:top w:val="single" w:sz="6" w:space="0" w:color="auto"/>
              <w:left w:val="single" w:sz="6" w:space="0" w:color="auto"/>
              <w:bottom w:val="single" w:sz="6" w:space="0" w:color="auto"/>
              <w:right w:val="single" w:sz="6" w:space="0" w:color="auto"/>
            </w:tcBorders>
            <w:hideMark/>
          </w:tcPr>
          <w:p w14:paraId="43B12DDA" w14:textId="77777777" w:rsidR="00D0177F" w:rsidRPr="00BD5307" w:rsidRDefault="00D0177F" w:rsidP="00BD5307">
            <w:pPr>
              <w:rPr>
                <w:rFonts w:ascii="Helvetica Neue" w:hAnsi="Helvetica Neue"/>
                <w:b/>
                <w:i/>
              </w:rPr>
            </w:pPr>
            <w:r w:rsidRPr="00BD5307">
              <w:rPr>
                <w:rFonts w:ascii="Helvetica Neue" w:hAnsi="Helvetica Neue"/>
                <w:b/>
                <w:i/>
              </w:rPr>
              <w:t>This role description is reviewed at the end of the first year of each 2 year term.</w:t>
            </w:r>
          </w:p>
        </w:tc>
      </w:tr>
      <w:tr w:rsidR="00D0177F" w:rsidRPr="00BD5307" w14:paraId="79A70658" w14:textId="77777777" w:rsidTr="000A2235">
        <w:tblPrEx>
          <w:tblBorders>
            <w:top w:val="single" w:sz="12" w:space="0" w:color="auto"/>
            <w:left w:val="single" w:sz="12" w:space="0" w:color="auto"/>
            <w:bottom w:val="single" w:sz="12" w:space="0" w:color="auto"/>
            <w:right w:val="single" w:sz="12" w:space="0" w:color="auto"/>
            <w:insideV w:val="single" w:sz="6" w:space="0" w:color="auto"/>
          </w:tblBorders>
        </w:tblPrEx>
        <w:tc>
          <w:tcPr>
            <w:tcW w:w="4793" w:type="dxa"/>
            <w:tcBorders>
              <w:top w:val="single" w:sz="6" w:space="0" w:color="auto"/>
              <w:left w:val="single" w:sz="6" w:space="0" w:color="auto"/>
              <w:bottom w:val="single" w:sz="6" w:space="0" w:color="auto"/>
              <w:right w:val="single" w:sz="6" w:space="0" w:color="0000FF"/>
            </w:tcBorders>
            <w:shd w:val="clear" w:color="auto" w:fill="99FF66"/>
            <w:hideMark/>
          </w:tcPr>
          <w:p w14:paraId="445D08EC" w14:textId="77777777" w:rsidR="00D0177F" w:rsidRPr="00BD5307" w:rsidRDefault="00D0177F" w:rsidP="00BD5307">
            <w:pPr>
              <w:rPr>
                <w:rFonts w:ascii="Helvetica Neue" w:hAnsi="Helvetica Neue"/>
                <w:i/>
              </w:rPr>
            </w:pPr>
            <w:r w:rsidRPr="00BD5307">
              <w:rPr>
                <w:rFonts w:ascii="Helvetica Neue" w:hAnsi="Helvetica Neue"/>
                <w:i/>
              </w:rPr>
              <w:t>Last Review Date:</w:t>
            </w:r>
          </w:p>
        </w:tc>
        <w:tc>
          <w:tcPr>
            <w:tcW w:w="4792" w:type="dxa"/>
            <w:tcBorders>
              <w:top w:val="single" w:sz="6" w:space="0" w:color="auto"/>
              <w:left w:val="single" w:sz="6" w:space="0" w:color="0000FF"/>
              <w:bottom w:val="single" w:sz="6" w:space="0" w:color="auto"/>
              <w:right w:val="single" w:sz="6" w:space="0" w:color="auto"/>
            </w:tcBorders>
            <w:hideMark/>
          </w:tcPr>
          <w:p w14:paraId="402C2C29" w14:textId="6160B1AC" w:rsidR="00D0177F" w:rsidRPr="00BD5307" w:rsidRDefault="00D0177F" w:rsidP="00BD5307">
            <w:pPr>
              <w:rPr>
                <w:rFonts w:ascii="Helvetica Neue" w:hAnsi="Helvetica Neue"/>
                <w:b/>
                <w:i/>
              </w:rPr>
            </w:pPr>
            <w:r w:rsidRPr="00BD5307">
              <w:rPr>
                <w:rFonts w:ascii="Helvetica Neue" w:hAnsi="Helvetica Neue"/>
                <w:b/>
                <w:i/>
              </w:rPr>
              <w:t>May 2020</w:t>
            </w:r>
          </w:p>
        </w:tc>
      </w:tr>
    </w:tbl>
    <w:p w14:paraId="17AB5BED" w14:textId="77777777" w:rsidR="00DA5728" w:rsidRDefault="00DA5728"/>
    <w:p w14:paraId="23F2539D" w14:textId="558D07B2" w:rsidR="00DA5728" w:rsidRDefault="00200B23" w:rsidP="00200B23">
      <w:pPr>
        <w:tabs>
          <w:tab w:val="left" w:pos="6584"/>
        </w:tabs>
      </w:pPr>
      <w:r>
        <w:tab/>
      </w:r>
      <w:bookmarkStart w:id="2" w:name="_GoBack"/>
      <w:bookmarkEnd w:id="2"/>
    </w:p>
    <w:p w14:paraId="0DBA2F75" w14:textId="3ABB5C78" w:rsidR="00D567CF" w:rsidRDefault="00D567CF"/>
    <w:p w14:paraId="437ED960" w14:textId="746600DA" w:rsidR="004F6169" w:rsidRDefault="004F6169"/>
    <w:p w14:paraId="47DA4375" w14:textId="77777777" w:rsidR="0058093B" w:rsidRDefault="0058093B"/>
    <w:p w14:paraId="227E7093" w14:textId="77777777" w:rsidR="00E14D96" w:rsidRDefault="00E14D96"/>
    <w:p w14:paraId="4C7E4AFF" w14:textId="2DDE8DB7" w:rsidR="003278C2" w:rsidRDefault="003278C2"/>
    <w:sectPr w:rsidR="003278C2" w:rsidSect="00CE0AE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FC065" w14:textId="77777777" w:rsidR="00213410" w:rsidRDefault="00213410" w:rsidP="0069292A">
      <w:r>
        <w:separator/>
      </w:r>
    </w:p>
  </w:endnote>
  <w:endnote w:type="continuationSeparator" w:id="0">
    <w:p w14:paraId="19716420" w14:textId="77777777" w:rsidR="00213410" w:rsidRDefault="00213410" w:rsidP="00692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A073A" w14:textId="77777777" w:rsidR="00213410" w:rsidRDefault="00213410" w:rsidP="0069292A">
      <w:r>
        <w:separator/>
      </w:r>
    </w:p>
  </w:footnote>
  <w:footnote w:type="continuationSeparator" w:id="0">
    <w:p w14:paraId="09280F71" w14:textId="77777777" w:rsidR="00213410" w:rsidRDefault="00213410" w:rsidP="006929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81ECC"/>
    <w:multiLevelType w:val="multilevel"/>
    <w:tmpl w:val="44529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BD5428"/>
    <w:multiLevelType w:val="hybridMultilevel"/>
    <w:tmpl w:val="61C8B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E277CD"/>
    <w:multiLevelType w:val="multilevel"/>
    <w:tmpl w:val="7288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C620DC"/>
    <w:multiLevelType w:val="hybridMultilevel"/>
    <w:tmpl w:val="B08ED2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8B1393"/>
    <w:multiLevelType w:val="hybridMultilevel"/>
    <w:tmpl w:val="C2F6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982E45"/>
    <w:multiLevelType w:val="hybridMultilevel"/>
    <w:tmpl w:val="BC464EF8"/>
    <w:lvl w:ilvl="0" w:tplc="743ED8B2">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D96"/>
    <w:rsid w:val="00024C09"/>
    <w:rsid w:val="00033541"/>
    <w:rsid w:val="000340D9"/>
    <w:rsid w:val="000734BD"/>
    <w:rsid w:val="000A2235"/>
    <w:rsid w:val="00127757"/>
    <w:rsid w:val="001914B5"/>
    <w:rsid w:val="001C1150"/>
    <w:rsid w:val="001F4121"/>
    <w:rsid w:val="00200B23"/>
    <w:rsid w:val="00213410"/>
    <w:rsid w:val="00234557"/>
    <w:rsid w:val="00261406"/>
    <w:rsid w:val="002C4203"/>
    <w:rsid w:val="002F4B26"/>
    <w:rsid w:val="003278C2"/>
    <w:rsid w:val="00331AC4"/>
    <w:rsid w:val="003325B8"/>
    <w:rsid w:val="00371174"/>
    <w:rsid w:val="004255DA"/>
    <w:rsid w:val="004827F9"/>
    <w:rsid w:val="004B1CF7"/>
    <w:rsid w:val="004B1CFC"/>
    <w:rsid w:val="004C01D4"/>
    <w:rsid w:val="004D7A95"/>
    <w:rsid w:val="004F4A15"/>
    <w:rsid w:val="004F6169"/>
    <w:rsid w:val="005021FD"/>
    <w:rsid w:val="0058093B"/>
    <w:rsid w:val="005F3D26"/>
    <w:rsid w:val="00622176"/>
    <w:rsid w:val="0069292A"/>
    <w:rsid w:val="00797263"/>
    <w:rsid w:val="008B5D15"/>
    <w:rsid w:val="00901921"/>
    <w:rsid w:val="00A40C7A"/>
    <w:rsid w:val="00A5510C"/>
    <w:rsid w:val="00B52889"/>
    <w:rsid w:val="00B54BE7"/>
    <w:rsid w:val="00B8109D"/>
    <w:rsid w:val="00BD5307"/>
    <w:rsid w:val="00BE5818"/>
    <w:rsid w:val="00C825B1"/>
    <w:rsid w:val="00CE0AEF"/>
    <w:rsid w:val="00CE3CB2"/>
    <w:rsid w:val="00D0177F"/>
    <w:rsid w:val="00D567CF"/>
    <w:rsid w:val="00D85B35"/>
    <w:rsid w:val="00D875ED"/>
    <w:rsid w:val="00DA5728"/>
    <w:rsid w:val="00E14D96"/>
    <w:rsid w:val="00E311B0"/>
    <w:rsid w:val="00E57978"/>
    <w:rsid w:val="00E91AF3"/>
    <w:rsid w:val="00ED5626"/>
    <w:rsid w:val="00EF3ADA"/>
    <w:rsid w:val="00F44C7C"/>
    <w:rsid w:val="00FB60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77BD7"/>
  <w15:chartTrackingRefBased/>
  <w15:docId w15:val="{C710B975-9A45-9140-9E1D-86FBD6073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Heading2"/>
    <w:link w:val="Heading1Char"/>
    <w:qFormat/>
    <w:rsid w:val="00DA5728"/>
    <w:pPr>
      <w:keepNext/>
      <w:spacing w:before="240" w:after="240"/>
      <w:jc w:val="center"/>
      <w:outlineLvl w:val="0"/>
    </w:pPr>
    <w:rPr>
      <w:rFonts w:ascii="Calibri" w:eastAsia="Times New Roman" w:hAnsi="Calibri" w:cs="Times New Roman"/>
      <w:b/>
      <w:caps/>
      <w:kern w:val="28"/>
      <w:sz w:val="32"/>
      <w:szCs w:val="22"/>
    </w:rPr>
  </w:style>
  <w:style w:type="paragraph" w:styleId="Heading2">
    <w:name w:val="heading 2"/>
    <w:basedOn w:val="Normal"/>
    <w:next w:val="Normal"/>
    <w:link w:val="Heading2Char"/>
    <w:uiPriority w:val="9"/>
    <w:semiHidden/>
    <w:unhideWhenUsed/>
    <w:qFormat/>
    <w:rsid w:val="00DA572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5728"/>
    <w:rPr>
      <w:rFonts w:ascii="Calibri" w:eastAsia="Times New Roman" w:hAnsi="Calibri" w:cs="Times New Roman"/>
      <w:b/>
      <w:caps/>
      <w:kern w:val="28"/>
      <w:sz w:val="32"/>
      <w:szCs w:val="22"/>
    </w:rPr>
  </w:style>
  <w:style w:type="character" w:customStyle="1" w:styleId="Heading2Char">
    <w:name w:val="Heading 2 Char"/>
    <w:basedOn w:val="DefaultParagraphFont"/>
    <w:link w:val="Heading2"/>
    <w:uiPriority w:val="9"/>
    <w:semiHidden/>
    <w:rsid w:val="00DA572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B1CFC"/>
    <w:pPr>
      <w:ind w:left="720"/>
      <w:contextualSpacing/>
    </w:pPr>
  </w:style>
  <w:style w:type="paragraph" w:styleId="Header">
    <w:name w:val="header"/>
    <w:basedOn w:val="Normal"/>
    <w:link w:val="HeaderChar"/>
    <w:uiPriority w:val="99"/>
    <w:unhideWhenUsed/>
    <w:rsid w:val="0069292A"/>
    <w:pPr>
      <w:tabs>
        <w:tab w:val="center" w:pos="4680"/>
        <w:tab w:val="right" w:pos="9360"/>
      </w:tabs>
    </w:pPr>
  </w:style>
  <w:style w:type="character" w:customStyle="1" w:styleId="HeaderChar">
    <w:name w:val="Header Char"/>
    <w:basedOn w:val="DefaultParagraphFont"/>
    <w:link w:val="Header"/>
    <w:uiPriority w:val="99"/>
    <w:rsid w:val="0069292A"/>
  </w:style>
  <w:style w:type="paragraph" w:styleId="Footer">
    <w:name w:val="footer"/>
    <w:basedOn w:val="Normal"/>
    <w:link w:val="FooterChar"/>
    <w:uiPriority w:val="99"/>
    <w:unhideWhenUsed/>
    <w:rsid w:val="0069292A"/>
    <w:pPr>
      <w:tabs>
        <w:tab w:val="center" w:pos="4680"/>
        <w:tab w:val="right" w:pos="9360"/>
      </w:tabs>
    </w:pPr>
  </w:style>
  <w:style w:type="character" w:customStyle="1" w:styleId="FooterChar">
    <w:name w:val="Footer Char"/>
    <w:basedOn w:val="DefaultParagraphFont"/>
    <w:link w:val="Footer"/>
    <w:uiPriority w:val="99"/>
    <w:rsid w:val="0069292A"/>
  </w:style>
  <w:style w:type="paragraph" w:styleId="NormalWeb">
    <w:name w:val="Normal (Web)"/>
    <w:basedOn w:val="Normal"/>
    <w:uiPriority w:val="99"/>
    <w:unhideWhenUsed/>
    <w:rsid w:val="001914B5"/>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E581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E581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628747">
      <w:bodyDiv w:val="1"/>
      <w:marLeft w:val="0"/>
      <w:marRight w:val="0"/>
      <w:marTop w:val="0"/>
      <w:marBottom w:val="0"/>
      <w:divBdr>
        <w:top w:val="none" w:sz="0" w:space="0" w:color="auto"/>
        <w:left w:val="none" w:sz="0" w:space="0" w:color="auto"/>
        <w:bottom w:val="none" w:sz="0" w:space="0" w:color="auto"/>
        <w:right w:val="none" w:sz="0" w:space="0" w:color="auto"/>
      </w:divBdr>
      <w:divsChild>
        <w:div w:id="1270772261">
          <w:marLeft w:val="0"/>
          <w:marRight w:val="0"/>
          <w:marTop w:val="0"/>
          <w:marBottom w:val="0"/>
          <w:divBdr>
            <w:top w:val="none" w:sz="0" w:space="0" w:color="auto"/>
            <w:left w:val="none" w:sz="0" w:space="0" w:color="auto"/>
            <w:bottom w:val="none" w:sz="0" w:space="0" w:color="auto"/>
            <w:right w:val="none" w:sz="0" w:space="0" w:color="auto"/>
          </w:divBdr>
          <w:divsChild>
            <w:div w:id="1403141086">
              <w:marLeft w:val="0"/>
              <w:marRight w:val="0"/>
              <w:marTop w:val="0"/>
              <w:marBottom w:val="0"/>
              <w:divBdr>
                <w:top w:val="none" w:sz="0" w:space="0" w:color="auto"/>
                <w:left w:val="none" w:sz="0" w:space="0" w:color="auto"/>
                <w:bottom w:val="none" w:sz="0" w:space="0" w:color="auto"/>
                <w:right w:val="none" w:sz="0" w:space="0" w:color="auto"/>
              </w:divBdr>
              <w:divsChild>
                <w:div w:id="1843936536">
                  <w:marLeft w:val="0"/>
                  <w:marRight w:val="0"/>
                  <w:marTop w:val="0"/>
                  <w:marBottom w:val="0"/>
                  <w:divBdr>
                    <w:top w:val="none" w:sz="0" w:space="0" w:color="auto"/>
                    <w:left w:val="none" w:sz="0" w:space="0" w:color="auto"/>
                    <w:bottom w:val="none" w:sz="0" w:space="0" w:color="auto"/>
                    <w:right w:val="none" w:sz="0" w:space="0" w:color="auto"/>
                  </w:divBdr>
                  <w:divsChild>
                    <w:div w:id="57339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285795">
      <w:bodyDiv w:val="1"/>
      <w:marLeft w:val="0"/>
      <w:marRight w:val="0"/>
      <w:marTop w:val="0"/>
      <w:marBottom w:val="0"/>
      <w:divBdr>
        <w:top w:val="none" w:sz="0" w:space="0" w:color="auto"/>
        <w:left w:val="none" w:sz="0" w:space="0" w:color="auto"/>
        <w:bottom w:val="none" w:sz="0" w:space="0" w:color="auto"/>
        <w:right w:val="none" w:sz="0" w:space="0" w:color="auto"/>
      </w:divBdr>
      <w:divsChild>
        <w:div w:id="2124299323">
          <w:marLeft w:val="0"/>
          <w:marRight w:val="0"/>
          <w:marTop w:val="0"/>
          <w:marBottom w:val="0"/>
          <w:divBdr>
            <w:top w:val="none" w:sz="0" w:space="0" w:color="auto"/>
            <w:left w:val="none" w:sz="0" w:space="0" w:color="auto"/>
            <w:bottom w:val="none" w:sz="0" w:space="0" w:color="auto"/>
            <w:right w:val="none" w:sz="0" w:space="0" w:color="auto"/>
          </w:divBdr>
          <w:divsChild>
            <w:div w:id="602032433">
              <w:marLeft w:val="0"/>
              <w:marRight w:val="0"/>
              <w:marTop w:val="0"/>
              <w:marBottom w:val="0"/>
              <w:divBdr>
                <w:top w:val="none" w:sz="0" w:space="0" w:color="auto"/>
                <w:left w:val="none" w:sz="0" w:space="0" w:color="auto"/>
                <w:bottom w:val="none" w:sz="0" w:space="0" w:color="auto"/>
                <w:right w:val="none" w:sz="0" w:space="0" w:color="auto"/>
              </w:divBdr>
              <w:divsChild>
                <w:div w:id="11683882">
                  <w:marLeft w:val="0"/>
                  <w:marRight w:val="0"/>
                  <w:marTop w:val="0"/>
                  <w:marBottom w:val="0"/>
                  <w:divBdr>
                    <w:top w:val="none" w:sz="0" w:space="0" w:color="auto"/>
                    <w:left w:val="none" w:sz="0" w:space="0" w:color="auto"/>
                    <w:bottom w:val="none" w:sz="0" w:space="0" w:color="auto"/>
                    <w:right w:val="none" w:sz="0" w:space="0" w:color="auto"/>
                  </w:divBdr>
                </w:div>
              </w:divsChild>
            </w:div>
            <w:div w:id="1799251352">
              <w:marLeft w:val="0"/>
              <w:marRight w:val="0"/>
              <w:marTop w:val="0"/>
              <w:marBottom w:val="0"/>
              <w:divBdr>
                <w:top w:val="none" w:sz="0" w:space="0" w:color="auto"/>
                <w:left w:val="none" w:sz="0" w:space="0" w:color="auto"/>
                <w:bottom w:val="none" w:sz="0" w:space="0" w:color="auto"/>
                <w:right w:val="none" w:sz="0" w:space="0" w:color="auto"/>
              </w:divBdr>
              <w:divsChild>
                <w:div w:id="2000453480">
                  <w:marLeft w:val="0"/>
                  <w:marRight w:val="0"/>
                  <w:marTop w:val="0"/>
                  <w:marBottom w:val="0"/>
                  <w:divBdr>
                    <w:top w:val="none" w:sz="0" w:space="0" w:color="auto"/>
                    <w:left w:val="none" w:sz="0" w:space="0" w:color="auto"/>
                    <w:bottom w:val="none" w:sz="0" w:space="0" w:color="auto"/>
                    <w:right w:val="none" w:sz="0" w:space="0" w:color="auto"/>
                  </w:divBdr>
                </w:div>
              </w:divsChild>
            </w:div>
            <w:div w:id="2091535764">
              <w:marLeft w:val="0"/>
              <w:marRight w:val="0"/>
              <w:marTop w:val="0"/>
              <w:marBottom w:val="0"/>
              <w:divBdr>
                <w:top w:val="none" w:sz="0" w:space="0" w:color="auto"/>
                <w:left w:val="none" w:sz="0" w:space="0" w:color="auto"/>
                <w:bottom w:val="none" w:sz="0" w:space="0" w:color="auto"/>
                <w:right w:val="none" w:sz="0" w:space="0" w:color="auto"/>
              </w:divBdr>
              <w:divsChild>
                <w:div w:id="476190675">
                  <w:marLeft w:val="0"/>
                  <w:marRight w:val="0"/>
                  <w:marTop w:val="0"/>
                  <w:marBottom w:val="0"/>
                  <w:divBdr>
                    <w:top w:val="none" w:sz="0" w:space="0" w:color="auto"/>
                    <w:left w:val="none" w:sz="0" w:space="0" w:color="auto"/>
                    <w:bottom w:val="none" w:sz="0" w:space="0" w:color="auto"/>
                    <w:right w:val="none" w:sz="0" w:space="0" w:color="auto"/>
                  </w:divBdr>
                </w:div>
              </w:divsChild>
            </w:div>
            <w:div w:id="333648653">
              <w:marLeft w:val="0"/>
              <w:marRight w:val="0"/>
              <w:marTop w:val="0"/>
              <w:marBottom w:val="0"/>
              <w:divBdr>
                <w:top w:val="none" w:sz="0" w:space="0" w:color="auto"/>
                <w:left w:val="none" w:sz="0" w:space="0" w:color="auto"/>
                <w:bottom w:val="none" w:sz="0" w:space="0" w:color="auto"/>
                <w:right w:val="none" w:sz="0" w:space="0" w:color="auto"/>
              </w:divBdr>
              <w:divsChild>
                <w:div w:id="1183861035">
                  <w:marLeft w:val="0"/>
                  <w:marRight w:val="0"/>
                  <w:marTop w:val="0"/>
                  <w:marBottom w:val="0"/>
                  <w:divBdr>
                    <w:top w:val="none" w:sz="0" w:space="0" w:color="auto"/>
                    <w:left w:val="none" w:sz="0" w:space="0" w:color="auto"/>
                    <w:bottom w:val="none" w:sz="0" w:space="0" w:color="auto"/>
                    <w:right w:val="none" w:sz="0" w:space="0" w:color="auto"/>
                  </w:divBdr>
                </w:div>
              </w:divsChild>
            </w:div>
            <w:div w:id="1710299574">
              <w:marLeft w:val="0"/>
              <w:marRight w:val="0"/>
              <w:marTop w:val="0"/>
              <w:marBottom w:val="0"/>
              <w:divBdr>
                <w:top w:val="none" w:sz="0" w:space="0" w:color="auto"/>
                <w:left w:val="none" w:sz="0" w:space="0" w:color="auto"/>
                <w:bottom w:val="none" w:sz="0" w:space="0" w:color="auto"/>
                <w:right w:val="none" w:sz="0" w:space="0" w:color="auto"/>
              </w:divBdr>
              <w:divsChild>
                <w:div w:id="1739980852">
                  <w:marLeft w:val="0"/>
                  <w:marRight w:val="0"/>
                  <w:marTop w:val="0"/>
                  <w:marBottom w:val="0"/>
                  <w:divBdr>
                    <w:top w:val="none" w:sz="0" w:space="0" w:color="auto"/>
                    <w:left w:val="none" w:sz="0" w:space="0" w:color="auto"/>
                    <w:bottom w:val="none" w:sz="0" w:space="0" w:color="auto"/>
                    <w:right w:val="none" w:sz="0" w:space="0" w:color="auto"/>
                  </w:divBdr>
                </w:div>
              </w:divsChild>
            </w:div>
            <w:div w:id="1691027637">
              <w:marLeft w:val="0"/>
              <w:marRight w:val="0"/>
              <w:marTop w:val="0"/>
              <w:marBottom w:val="0"/>
              <w:divBdr>
                <w:top w:val="none" w:sz="0" w:space="0" w:color="auto"/>
                <w:left w:val="none" w:sz="0" w:space="0" w:color="auto"/>
                <w:bottom w:val="none" w:sz="0" w:space="0" w:color="auto"/>
                <w:right w:val="none" w:sz="0" w:space="0" w:color="auto"/>
              </w:divBdr>
              <w:divsChild>
                <w:div w:id="2110153604">
                  <w:marLeft w:val="0"/>
                  <w:marRight w:val="0"/>
                  <w:marTop w:val="0"/>
                  <w:marBottom w:val="0"/>
                  <w:divBdr>
                    <w:top w:val="none" w:sz="0" w:space="0" w:color="auto"/>
                    <w:left w:val="none" w:sz="0" w:space="0" w:color="auto"/>
                    <w:bottom w:val="none" w:sz="0" w:space="0" w:color="auto"/>
                    <w:right w:val="none" w:sz="0" w:space="0" w:color="auto"/>
                  </w:divBdr>
                </w:div>
              </w:divsChild>
            </w:div>
            <w:div w:id="529101102">
              <w:marLeft w:val="0"/>
              <w:marRight w:val="0"/>
              <w:marTop w:val="0"/>
              <w:marBottom w:val="0"/>
              <w:divBdr>
                <w:top w:val="none" w:sz="0" w:space="0" w:color="auto"/>
                <w:left w:val="none" w:sz="0" w:space="0" w:color="auto"/>
                <w:bottom w:val="none" w:sz="0" w:space="0" w:color="auto"/>
                <w:right w:val="none" w:sz="0" w:space="0" w:color="auto"/>
              </w:divBdr>
              <w:divsChild>
                <w:div w:id="164518722">
                  <w:marLeft w:val="0"/>
                  <w:marRight w:val="0"/>
                  <w:marTop w:val="0"/>
                  <w:marBottom w:val="0"/>
                  <w:divBdr>
                    <w:top w:val="none" w:sz="0" w:space="0" w:color="auto"/>
                    <w:left w:val="none" w:sz="0" w:space="0" w:color="auto"/>
                    <w:bottom w:val="none" w:sz="0" w:space="0" w:color="auto"/>
                    <w:right w:val="none" w:sz="0" w:space="0" w:color="auto"/>
                  </w:divBdr>
                </w:div>
              </w:divsChild>
            </w:div>
            <w:div w:id="180777575">
              <w:marLeft w:val="0"/>
              <w:marRight w:val="0"/>
              <w:marTop w:val="0"/>
              <w:marBottom w:val="0"/>
              <w:divBdr>
                <w:top w:val="none" w:sz="0" w:space="0" w:color="auto"/>
                <w:left w:val="none" w:sz="0" w:space="0" w:color="auto"/>
                <w:bottom w:val="none" w:sz="0" w:space="0" w:color="auto"/>
                <w:right w:val="none" w:sz="0" w:space="0" w:color="auto"/>
              </w:divBdr>
              <w:divsChild>
                <w:div w:id="658651010">
                  <w:marLeft w:val="0"/>
                  <w:marRight w:val="0"/>
                  <w:marTop w:val="0"/>
                  <w:marBottom w:val="0"/>
                  <w:divBdr>
                    <w:top w:val="none" w:sz="0" w:space="0" w:color="auto"/>
                    <w:left w:val="none" w:sz="0" w:space="0" w:color="auto"/>
                    <w:bottom w:val="none" w:sz="0" w:space="0" w:color="auto"/>
                    <w:right w:val="none" w:sz="0" w:space="0" w:color="auto"/>
                  </w:divBdr>
                </w:div>
              </w:divsChild>
            </w:div>
            <w:div w:id="710767458">
              <w:marLeft w:val="0"/>
              <w:marRight w:val="0"/>
              <w:marTop w:val="0"/>
              <w:marBottom w:val="0"/>
              <w:divBdr>
                <w:top w:val="none" w:sz="0" w:space="0" w:color="auto"/>
                <w:left w:val="none" w:sz="0" w:space="0" w:color="auto"/>
                <w:bottom w:val="none" w:sz="0" w:space="0" w:color="auto"/>
                <w:right w:val="none" w:sz="0" w:space="0" w:color="auto"/>
              </w:divBdr>
              <w:divsChild>
                <w:div w:id="29304666">
                  <w:marLeft w:val="0"/>
                  <w:marRight w:val="0"/>
                  <w:marTop w:val="0"/>
                  <w:marBottom w:val="0"/>
                  <w:divBdr>
                    <w:top w:val="none" w:sz="0" w:space="0" w:color="auto"/>
                    <w:left w:val="none" w:sz="0" w:space="0" w:color="auto"/>
                    <w:bottom w:val="none" w:sz="0" w:space="0" w:color="auto"/>
                    <w:right w:val="none" w:sz="0" w:space="0" w:color="auto"/>
                  </w:divBdr>
                </w:div>
              </w:divsChild>
            </w:div>
            <w:div w:id="287665542">
              <w:marLeft w:val="0"/>
              <w:marRight w:val="0"/>
              <w:marTop w:val="0"/>
              <w:marBottom w:val="0"/>
              <w:divBdr>
                <w:top w:val="none" w:sz="0" w:space="0" w:color="auto"/>
                <w:left w:val="none" w:sz="0" w:space="0" w:color="auto"/>
                <w:bottom w:val="none" w:sz="0" w:space="0" w:color="auto"/>
                <w:right w:val="none" w:sz="0" w:space="0" w:color="auto"/>
              </w:divBdr>
              <w:divsChild>
                <w:div w:id="461072638">
                  <w:marLeft w:val="0"/>
                  <w:marRight w:val="0"/>
                  <w:marTop w:val="0"/>
                  <w:marBottom w:val="0"/>
                  <w:divBdr>
                    <w:top w:val="none" w:sz="0" w:space="0" w:color="auto"/>
                    <w:left w:val="none" w:sz="0" w:space="0" w:color="auto"/>
                    <w:bottom w:val="none" w:sz="0" w:space="0" w:color="auto"/>
                    <w:right w:val="none" w:sz="0" w:space="0" w:color="auto"/>
                  </w:divBdr>
                </w:div>
              </w:divsChild>
            </w:div>
            <w:div w:id="230315710">
              <w:marLeft w:val="0"/>
              <w:marRight w:val="0"/>
              <w:marTop w:val="0"/>
              <w:marBottom w:val="0"/>
              <w:divBdr>
                <w:top w:val="none" w:sz="0" w:space="0" w:color="auto"/>
                <w:left w:val="none" w:sz="0" w:space="0" w:color="auto"/>
                <w:bottom w:val="none" w:sz="0" w:space="0" w:color="auto"/>
                <w:right w:val="none" w:sz="0" w:space="0" w:color="auto"/>
              </w:divBdr>
              <w:divsChild>
                <w:div w:id="1746873220">
                  <w:marLeft w:val="0"/>
                  <w:marRight w:val="0"/>
                  <w:marTop w:val="0"/>
                  <w:marBottom w:val="0"/>
                  <w:divBdr>
                    <w:top w:val="none" w:sz="0" w:space="0" w:color="auto"/>
                    <w:left w:val="none" w:sz="0" w:space="0" w:color="auto"/>
                    <w:bottom w:val="none" w:sz="0" w:space="0" w:color="auto"/>
                    <w:right w:val="none" w:sz="0" w:space="0" w:color="auto"/>
                  </w:divBdr>
                </w:div>
              </w:divsChild>
            </w:div>
            <w:div w:id="1144396355">
              <w:marLeft w:val="0"/>
              <w:marRight w:val="0"/>
              <w:marTop w:val="0"/>
              <w:marBottom w:val="0"/>
              <w:divBdr>
                <w:top w:val="none" w:sz="0" w:space="0" w:color="auto"/>
                <w:left w:val="none" w:sz="0" w:space="0" w:color="auto"/>
                <w:bottom w:val="none" w:sz="0" w:space="0" w:color="auto"/>
                <w:right w:val="none" w:sz="0" w:space="0" w:color="auto"/>
              </w:divBdr>
              <w:divsChild>
                <w:div w:id="166377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79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2020-05-18T16:59:00Z</dcterms:created>
  <dcterms:modified xsi:type="dcterms:W3CDTF">2020-05-27T13:13:00Z</dcterms:modified>
</cp:coreProperties>
</file>