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7978" w14:textId="219B9E8D" w:rsidR="009C4EA0" w:rsidRDefault="009C4EA0" w:rsidP="009C4EA0">
      <w:pPr>
        <w:shd w:val="clear" w:color="auto" w:fill="FFFFFF"/>
        <w:jc w:val="right"/>
        <w:rPr>
          <w:rFonts w:ascii="Helvetica Neue" w:eastAsia="Times New Roman" w:hAnsi="Helvetica Neue" w:cs="Times New Roman"/>
          <w:sz w:val="22"/>
          <w:szCs w:val="22"/>
        </w:rPr>
      </w:pPr>
      <w:r w:rsidRPr="009C4EA0">
        <w:rPr>
          <w:rFonts w:ascii="Helvetica Neue" w:eastAsia="Times New Roman" w:hAnsi="Helvetica Neue" w:cs="Times New Roman"/>
          <w:sz w:val="22"/>
          <w:szCs w:val="22"/>
        </w:rPr>
        <w:fldChar w:fldCharType="begin"/>
      </w:r>
      <w:r w:rsidRPr="009C4EA0">
        <w:rPr>
          <w:rFonts w:ascii="Helvetica Neue" w:eastAsia="Times New Roman" w:hAnsi="Helvetica Neue" w:cs="Times New Roman"/>
          <w:sz w:val="22"/>
          <w:szCs w:val="22"/>
        </w:rPr>
        <w:instrText xml:space="preserve"> INCLUDEPICTURE "/var/folders/_5/gjpwh7rx41111d6_wg2vt3280000gn/T/com.microsoft.Word/WebArchiveCopyPasteTempFiles/page1image3887328" \* MERGEFORMATINET </w:instrText>
      </w:r>
      <w:r w:rsidRPr="009C4EA0">
        <w:rPr>
          <w:rFonts w:ascii="Helvetica Neue" w:eastAsia="Times New Roman" w:hAnsi="Helvetica Neue" w:cs="Times New Roman"/>
          <w:sz w:val="22"/>
          <w:szCs w:val="22"/>
        </w:rPr>
        <w:fldChar w:fldCharType="separate"/>
      </w:r>
      <w:r w:rsidRPr="009C4EA0">
        <w:rPr>
          <w:rFonts w:ascii="Helvetica Neue" w:eastAsia="Times New Roman" w:hAnsi="Helvetica Neue" w:cs="Times New Roman"/>
          <w:noProof/>
          <w:sz w:val="22"/>
          <w:szCs w:val="22"/>
        </w:rPr>
        <w:drawing>
          <wp:inline distT="0" distB="0" distL="0" distR="0" wp14:anchorId="614CBF37" wp14:editId="016FFE73">
            <wp:extent cx="1052830" cy="1103630"/>
            <wp:effectExtent l="0" t="0" r="1270" b="1270"/>
            <wp:docPr id="1" name="Picture 1" descr="page1image388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873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EA0">
        <w:rPr>
          <w:rFonts w:ascii="Helvetica Neue" w:eastAsia="Times New Roman" w:hAnsi="Helvetica Neue" w:cs="Times New Roman"/>
          <w:sz w:val="22"/>
          <w:szCs w:val="22"/>
        </w:rPr>
        <w:fldChar w:fldCharType="end"/>
      </w:r>
    </w:p>
    <w:p w14:paraId="6A1E4DE1" w14:textId="77777777" w:rsidR="00BB7065" w:rsidRPr="009C4EA0" w:rsidRDefault="00BB7065" w:rsidP="009C4EA0">
      <w:pPr>
        <w:shd w:val="clear" w:color="auto" w:fill="FFFFFF"/>
        <w:jc w:val="right"/>
        <w:rPr>
          <w:rFonts w:ascii="Helvetica Neue" w:eastAsia="Times New Roman" w:hAnsi="Helvetica Neue" w:cs="Times New Roman"/>
          <w:sz w:val="22"/>
          <w:szCs w:val="22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9C4EA0" w:rsidRPr="009C4EA0" w14:paraId="136C93BA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E66"/>
            <w:vAlign w:val="center"/>
            <w:hideMark/>
          </w:tcPr>
          <w:p w14:paraId="1260F56F" w14:textId="2CB45C1F" w:rsidR="009C4EA0" w:rsidRDefault="009C4EA0" w:rsidP="009C4EA0">
            <w:pPr>
              <w:spacing w:before="100" w:beforeAutospacing="1" w:after="100" w:afterAutospacing="1"/>
              <w:jc w:val="center"/>
              <w:divId w:val="1187792977"/>
              <w:rPr>
                <w:rFonts w:ascii="Helvetica Neue" w:eastAsia="Times New Roman" w:hAnsi="Helvetica Neue" w:cs="Times New Roman"/>
                <w:b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Cs w:val="22"/>
              </w:rPr>
              <w:t>GPEX CHAIR</w:t>
            </w:r>
          </w:p>
          <w:p w14:paraId="2250DE4A" w14:textId="3D842A8B" w:rsidR="009C4EA0" w:rsidRPr="009C4EA0" w:rsidRDefault="009C4EA0" w:rsidP="009C4EA0">
            <w:pPr>
              <w:spacing w:before="100" w:beforeAutospacing="1" w:after="100" w:afterAutospacing="1"/>
              <w:jc w:val="center"/>
              <w:divId w:val="1187792977"/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</w:pPr>
          </w:p>
        </w:tc>
      </w:tr>
      <w:tr w:rsidR="009C4EA0" w:rsidRPr="009C4EA0" w14:paraId="1763ED81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E66"/>
            <w:vAlign w:val="center"/>
            <w:hideMark/>
          </w:tcPr>
          <w:p w14:paraId="476C0E0D" w14:textId="77777777" w:rsidR="009C4EA0" w:rsidRPr="009C4EA0" w:rsidRDefault="009C4EA0" w:rsidP="00493239">
            <w:pPr>
              <w:spacing w:before="100" w:beforeAutospacing="1" w:after="100" w:afterAutospacing="1"/>
              <w:ind w:left="122"/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 xml:space="preserve">SPECIFIC RESPONSIBILITIES OF THE GPEX CHAIR </w:t>
            </w:r>
          </w:p>
        </w:tc>
      </w:tr>
      <w:tr w:rsidR="009C4EA0" w:rsidRPr="009C4EA0" w14:paraId="0F08D28E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2D1A" w14:textId="77777777" w:rsidR="009C4EA0" w:rsidRPr="009C4EA0" w:rsidRDefault="009C4EA0" w:rsidP="00493239">
            <w:pPr>
              <w:spacing w:before="100" w:beforeAutospacing="1" w:after="100" w:afterAutospacing="1"/>
              <w:ind w:left="122" w:right="231"/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</w:pPr>
            <w:proofErr w:type="spellStart"/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 xml:space="preserve"> Administration: </w:t>
            </w:r>
          </w:p>
          <w:p w14:paraId="2F1E23F9" w14:textId="77777777" w:rsidR="009C4EA0" w:rsidRPr="009C4EA0" w:rsidRDefault="009C4EA0" w:rsidP="00493239">
            <w:pPr>
              <w:spacing w:before="100" w:beforeAutospacing="1" w:after="100" w:afterAutospacing="1"/>
              <w:ind w:left="12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is responsible for: </w:t>
            </w:r>
          </w:p>
          <w:p w14:paraId="55D0556A" w14:textId="77777777" w:rsidR="00493239" w:rsidRPr="00493239" w:rsidRDefault="009C4EA0" w:rsidP="004932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arranging the induction of </w:t>
            </w:r>
            <w:proofErr w:type="spellStart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members in advance of the first meeting in the annual cycle ensuring the smooth and effective administration of </w:t>
            </w:r>
            <w:proofErr w:type="spellStart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, with </w:t>
            </w:r>
            <w:r w:rsidR="00BB7065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mely produc</w:t>
            </w:r>
            <w:r w:rsidR="00BB7065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on and publica</w:t>
            </w:r>
            <w:r w:rsidR="00BB7065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on of agendas, papers and minutes </w:t>
            </w:r>
          </w:p>
          <w:p w14:paraId="2DF0A28C" w14:textId="77777777" w:rsidR="00493239" w:rsidRPr="00493239" w:rsidRDefault="009C4EA0" w:rsidP="004932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chairing </w:t>
            </w:r>
            <w:proofErr w:type="spellStart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mee</w:t>
            </w:r>
            <w:r w:rsidR="00BB7065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ngs </w:t>
            </w:r>
          </w:p>
          <w:p w14:paraId="2AB085DC" w14:textId="77777777" w:rsidR="00493239" w:rsidRPr="00493239" w:rsidRDefault="009C4EA0" w:rsidP="004932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maintenance of the </w:t>
            </w:r>
            <w:proofErr w:type="spellStart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Handbook so that its contents are up‐to‐date in advance of the annual </w:t>
            </w:r>
            <w:proofErr w:type="spellStart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ballot, and ensuring that all GPEX members are given a copy on elec</w:t>
            </w:r>
            <w:r w:rsidR="00BB7065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on </w:t>
            </w:r>
          </w:p>
          <w:p w14:paraId="4C771260" w14:textId="6B7CB820" w:rsidR="009C4EA0" w:rsidRPr="00493239" w:rsidRDefault="009C4EA0" w:rsidP="0049323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bookmarkStart w:id="0" w:name="_GoBack"/>
            <w:bookmarkEnd w:id="0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ensuring that the </w:t>
            </w:r>
            <w:proofErr w:type="spellStart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job descrip</w:t>
            </w:r>
            <w:r w:rsidR="00BB7065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ons are updated in advance of the annual </w:t>
            </w:r>
            <w:proofErr w:type="spellStart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ballot </w:t>
            </w:r>
          </w:p>
        </w:tc>
      </w:tr>
      <w:tr w:rsidR="009C4EA0" w:rsidRPr="009C4EA0" w14:paraId="60171766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257B8" w14:textId="50375B44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Appointments</w:t>
            </w: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: 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Currently,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has two officer roles ‐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Secretary and Treasurer. 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is responsible for ensuring that these, and any other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officers are appointed at the first mee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ng of each new Execu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ve. </w:t>
            </w:r>
          </w:p>
          <w:p w14:paraId="036C0849" w14:textId="3E735895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is responsible for ensuring the co‐op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on to vacant posts on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and advising the Electoral Returning Officer of posts for elec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on in the Annual Ballot. </w:t>
            </w:r>
          </w:p>
          <w:p w14:paraId="375377B8" w14:textId="77777777" w:rsid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The Execu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ve shall elect from among its elected members a deputy chair, to assist the chair in his/her du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es, and to act in the role of the chair at any me when the chair is unable to do so </w:t>
            </w:r>
          </w:p>
          <w:p w14:paraId="62869536" w14:textId="23ACCD7A" w:rsidR="00493239" w:rsidRPr="009C4EA0" w:rsidRDefault="00493239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</w:p>
        </w:tc>
      </w:tr>
      <w:tr w:rsidR="009C4EA0" w:rsidRPr="009C4EA0" w14:paraId="4D04B885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84E33" w14:textId="77777777" w:rsidR="00493239" w:rsidRDefault="009C4EA0" w:rsidP="00493239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Political Parties, Elections and Referendums Act:</w:t>
            </w: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 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Ensuring that the Green Party complies with the requirements of the Act. </w:t>
            </w:r>
          </w:p>
          <w:p w14:paraId="70E99BA3" w14:textId="20BEC7EB" w:rsidR="00493239" w:rsidRPr="009C4EA0" w:rsidRDefault="00493239" w:rsidP="00493239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</w:p>
        </w:tc>
      </w:tr>
      <w:tr w:rsidR="009C4EA0" w:rsidRPr="009C4EA0" w14:paraId="1231D972" w14:textId="77777777" w:rsidTr="00493239">
        <w:trPr>
          <w:trHeight w:val="1037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9303" w14:textId="34DBEF47" w:rsidR="00493239" w:rsidRPr="00493239" w:rsidRDefault="009C4EA0" w:rsidP="00493239">
            <w:pPr>
              <w:spacing w:before="100" w:beforeAutospacing="1" w:after="100" w:afterAutospacing="1"/>
              <w:ind w:left="122"/>
              <w:rPr>
                <w:rFonts w:ascii="Helvetica Neue" w:eastAsia="Times New Roman" w:hAnsi="Helvetica Neue" w:cs="Times New Roman"/>
                <w:color w:val="000000" w:themeColor="text1"/>
                <w:sz w:val="22"/>
                <w:szCs w:val="22"/>
              </w:rPr>
            </w:pPr>
            <w:r w:rsidRPr="00493239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 xml:space="preserve">Coordinating </w:t>
            </w:r>
            <w:proofErr w:type="spellStart"/>
            <w:r w:rsidRPr="00493239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 xml:space="preserve"> Coordinators:</w:t>
            </w:r>
            <w:r w:rsidRPr="00493239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 </w:t>
            </w: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plays an important role in coordina</w:t>
            </w:r>
            <w:r w:rsidR="00705539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ng the work of other </w:t>
            </w:r>
            <w:proofErr w:type="spellStart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Coordinators, to ensure that the Party's strategies and long‐term objec</w:t>
            </w:r>
            <w:r w:rsidR="00705539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ves are met. </w:t>
            </w:r>
            <w:r w:rsidR="00705539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This will include regular </w:t>
            </w:r>
            <w:r w:rsidR="00493239">
              <w:rPr>
                <w:rFonts w:ascii="Helvetica Neue" w:eastAsia="Times New Roman" w:hAnsi="Helvetica Neue" w:cs="Calibri"/>
                <w:sz w:val="22"/>
                <w:szCs w:val="22"/>
              </w:rPr>
              <w:t>feedback sessions</w:t>
            </w:r>
            <w:r w:rsidR="00705539" w:rsidRP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with Coordinators</w:t>
            </w:r>
            <w:r w:rsidR="004932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, highlighting any areas for development. </w:t>
            </w:r>
          </w:p>
          <w:p w14:paraId="4927AD58" w14:textId="29C15780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</w:p>
        </w:tc>
      </w:tr>
      <w:tr w:rsidR="009C4EA0" w:rsidRPr="009C4EA0" w14:paraId="5E81C011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CB454" w14:textId="77777777" w:rsid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Strategic Development:</w:t>
            </w: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 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is responsible for ensuring that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maintains and develops the Party's 5‐year rolling strategies. </w:t>
            </w:r>
          </w:p>
          <w:p w14:paraId="1D6FA10A" w14:textId="56D05D6B" w:rsidR="00493239" w:rsidRPr="009C4EA0" w:rsidRDefault="00493239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</w:p>
        </w:tc>
      </w:tr>
      <w:tr w:rsidR="009C4EA0" w:rsidRPr="009C4EA0" w14:paraId="7A269991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3FEC8" w14:textId="77777777" w:rsid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lastRenderedPageBreak/>
              <w:t>Finance:</w:t>
            </w: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 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is a signatory to the Green Party's bank accounts and, along with other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Coordinators, assists 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Greenquest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Administrator in authorising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Greenquest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loans. </w:t>
            </w:r>
          </w:p>
          <w:p w14:paraId="32B2384C" w14:textId="1824A2BE" w:rsidR="00493239" w:rsidRPr="009C4EA0" w:rsidRDefault="00493239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</w:p>
        </w:tc>
      </w:tr>
      <w:tr w:rsidR="00BB7065" w:rsidRPr="009C4EA0" w14:paraId="2B638B3B" w14:textId="77777777" w:rsidTr="00705539">
        <w:trPr>
          <w:trHeight w:val="2168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20DC95" w14:textId="77777777" w:rsidR="00BB7065" w:rsidRPr="009C4EA0" w:rsidRDefault="00BB7065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proofErr w:type="spellStart"/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 xml:space="preserve"> Committee Responsibilities:</w:t>
            </w: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 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is a member of the following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commi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ees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, but does not convene any of them: </w:t>
            </w:r>
          </w:p>
          <w:p w14:paraId="28BB0B95" w14:textId="4C167F47" w:rsidR="00BB7065" w:rsidRPr="009C4EA0" w:rsidRDefault="00BB7065" w:rsidP="00BB7065">
            <w:pPr>
              <w:numPr>
                <w:ilvl w:val="0"/>
                <w:numId w:val="2"/>
              </w:num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Arial"/>
                <w:sz w:val="22"/>
                <w:szCs w:val="22"/>
              </w:rPr>
              <w:t>●  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Poli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cal Commi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tt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ee (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PolCom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) </w:t>
            </w:r>
          </w:p>
          <w:p w14:paraId="2AB82999" w14:textId="1A59F3E6" w:rsidR="00BB7065" w:rsidRPr="009C4EA0" w:rsidRDefault="00BB7065" w:rsidP="00BB7065">
            <w:pPr>
              <w:numPr>
                <w:ilvl w:val="0"/>
                <w:numId w:val="2"/>
              </w:num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Arial"/>
                <w:sz w:val="22"/>
                <w:szCs w:val="22"/>
              </w:rPr>
              <w:t>●  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Administra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on &amp; Finance Commi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tt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ee (AFCOM) </w:t>
            </w:r>
          </w:p>
          <w:p w14:paraId="76209D95" w14:textId="73937416" w:rsidR="00BB7065" w:rsidRPr="009C4EA0" w:rsidRDefault="00BB7065" w:rsidP="00BB7065">
            <w:pPr>
              <w:numPr>
                <w:ilvl w:val="0"/>
                <w:numId w:val="2"/>
              </w:num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Arial"/>
                <w:sz w:val="22"/>
                <w:szCs w:val="22"/>
              </w:rPr>
              <w:t>●  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Dona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ons Scru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ny Commi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tt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ee </w:t>
            </w:r>
          </w:p>
          <w:p w14:paraId="5C4A5683" w14:textId="665E06D6" w:rsidR="00BB7065" w:rsidRPr="009C4EA0" w:rsidRDefault="00BB7065" w:rsidP="00BB7065">
            <w:pPr>
              <w:numPr>
                <w:ilvl w:val="0"/>
                <w:numId w:val="2"/>
              </w:num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Arial"/>
                <w:sz w:val="22"/>
                <w:szCs w:val="22"/>
              </w:rPr>
              <w:t>●  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Elec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ons Commi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tt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ee </w:t>
            </w:r>
          </w:p>
          <w:p w14:paraId="35DE4756" w14:textId="64776153" w:rsidR="00BB7065" w:rsidRPr="009C4EA0" w:rsidRDefault="00BB7065" w:rsidP="00BB7065">
            <w:pPr>
              <w:numPr>
                <w:ilvl w:val="0"/>
                <w:numId w:val="2"/>
              </w:num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Arial"/>
                <w:sz w:val="22"/>
                <w:szCs w:val="22"/>
              </w:rPr>
              <w:t>●  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Campaign Communica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on Commi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tt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ee </w:t>
            </w:r>
          </w:p>
        </w:tc>
      </w:tr>
      <w:tr w:rsidR="009C4EA0" w:rsidRPr="009C4EA0" w14:paraId="0BFFC525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6B35B" w14:textId="77777777" w:rsid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Relationships With Staff:</w:t>
            </w: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 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is the line manager for the Chief Execu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ve Officer and therefore has management responsibili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es towards the staff that the CEO manages. </w:t>
            </w:r>
          </w:p>
          <w:p w14:paraId="582B30E6" w14:textId="0B856DEC" w:rsidR="00493239" w:rsidRPr="009C4EA0" w:rsidRDefault="00493239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</w:p>
        </w:tc>
      </w:tr>
      <w:tr w:rsidR="009C4EA0" w:rsidRPr="009C4EA0" w14:paraId="750DA6B8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ACAE5" w14:textId="5467098C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Relationships With Other Parts of the Green Party:</w:t>
            </w: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 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a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tt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ends each mee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ng of the Green Party Regional Council (GPRC) to report on the work of the Execu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ve. </w:t>
            </w:r>
          </w:p>
          <w:p w14:paraId="6086A4B5" w14:textId="5FAD8B44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represents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and the na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onal Green Party as a whole to other parts of the Green Party. </w:t>
            </w:r>
          </w:p>
          <w:p w14:paraId="286994CA" w14:textId="6D3A9630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works with the Complaints Manager and the Chair of the Disciplinary Commi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tt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ee to process complaints as laid out in the Standing Orders for Party Discipline for the Green Party of England and Wales. </w:t>
            </w:r>
          </w:p>
          <w:p w14:paraId="6BE285EE" w14:textId="77777777" w:rsid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Advises the House of Lords selec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on Commi</w:t>
            </w:r>
            <w:r w:rsidR="00BB7065">
              <w:rPr>
                <w:rFonts w:ascii="Helvetica Neue" w:eastAsia="Times New Roman" w:hAnsi="Helvetica Neue" w:cs="Calibri"/>
                <w:sz w:val="22"/>
                <w:szCs w:val="22"/>
              </w:rPr>
              <w:t>tt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ee on the number of nominees to be selected. Advise MPs/MEPs who may be considering entering into agreements with other poli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cal par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es. </w:t>
            </w:r>
          </w:p>
          <w:p w14:paraId="757DC579" w14:textId="7FAB5B82" w:rsidR="00493239" w:rsidRPr="009C4EA0" w:rsidRDefault="00493239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</w:p>
        </w:tc>
      </w:tr>
      <w:tr w:rsidR="009C4EA0" w:rsidRPr="009C4EA0" w14:paraId="51CCB329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81BF" w14:textId="77777777" w:rsid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Relationships Outside the Green Party:</w:t>
            </w: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 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Usually, the Party Leader and Party Deputy Leader represent the Green Party at mee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ngs with external bodies. From 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me to 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me, 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may need to a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tt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end such mee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ngs. </w:t>
            </w:r>
          </w:p>
          <w:p w14:paraId="27C1D31C" w14:textId="6C38F777" w:rsidR="00493239" w:rsidRPr="009C4EA0" w:rsidRDefault="00493239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</w:p>
        </w:tc>
      </w:tr>
      <w:tr w:rsidR="009C4EA0" w:rsidRPr="009C4EA0" w14:paraId="54FB73D9" w14:textId="77777777" w:rsidTr="00705539"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5020B81" w14:textId="4297DA1A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Miscellaneous:</w:t>
            </w: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 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The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Chair has the following miscellaneous responsibili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es: </w:t>
            </w:r>
          </w:p>
          <w:p w14:paraId="2A802503" w14:textId="0363DCB3" w:rsidR="009C4EA0" w:rsidRPr="00705539" w:rsidRDefault="009C4EA0" w:rsidP="0070553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right="231" w:hanging="238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Authorising Execu</w:t>
            </w:r>
            <w:r w:rsidR="00705539"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ve Coordinators', including Leader(s) &amp; Deputy(</w:t>
            </w:r>
            <w:proofErr w:type="spellStart"/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ies</w:t>
            </w:r>
            <w:proofErr w:type="spellEnd"/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) expenses </w:t>
            </w:r>
          </w:p>
          <w:p w14:paraId="1118B311" w14:textId="1BD958AC" w:rsidR="009C4EA0" w:rsidRPr="00705539" w:rsidRDefault="009C4EA0" w:rsidP="0070553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right="231" w:hanging="238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Approving and countersigning cheques on behalf of the Party </w:t>
            </w:r>
          </w:p>
          <w:p w14:paraId="7B9A57E2" w14:textId="51633D8C" w:rsidR="009C4EA0" w:rsidRPr="00705539" w:rsidRDefault="009C4EA0" w:rsidP="0070553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right="231" w:hanging="238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Maintaining </w:t>
            </w:r>
            <w:proofErr w:type="spellStart"/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protocols (with the Management Coordinator) </w:t>
            </w:r>
          </w:p>
          <w:p w14:paraId="6B2A6898" w14:textId="2BF1656C" w:rsidR="009C4EA0" w:rsidRPr="00705539" w:rsidRDefault="009C4EA0" w:rsidP="00705539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right="231" w:hanging="238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In the event of the suspension or resigna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on of both the Leader and Deputy Leader(s), or of both of two Co‐Leaders, the Chair of </w:t>
            </w:r>
            <w:proofErr w:type="spellStart"/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shall have the posi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on of Ac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ng Leader un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l a new elec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on has taken place (sec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on 8 of the Const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it</w:t>
            </w: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>u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705539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on) </w:t>
            </w:r>
          </w:p>
        </w:tc>
      </w:tr>
      <w:tr w:rsidR="009C4EA0" w:rsidRPr="009C4EA0" w14:paraId="60998CC7" w14:textId="77777777" w:rsidTr="00705539">
        <w:tc>
          <w:tcPr>
            <w:tcW w:w="9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14:paraId="4D982393" w14:textId="77777777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 xml:space="preserve">Skills, Knowledge and Experience REQUIRED </w:t>
            </w:r>
          </w:p>
        </w:tc>
      </w:tr>
      <w:tr w:rsidR="009C4EA0" w:rsidRPr="009C4EA0" w14:paraId="4A99D3EF" w14:textId="77777777" w:rsidTr="00705539">
        <w:tc>
          <w:tcPr>
            <w:tcW w:w="90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DBA87FB" w14:textId="209CACD9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lastRenderedPageBreak/>
              <w:t>Experience of chairing mee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ngs of large groups of people who do not always agree. </w:t>
            </w:r>
          </w:p>
          <w:p w14:paraId="77FF9247" w14:textId="31DEFED8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Ability to structure the business of mee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ngs in such a way as to develop prac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cal resolu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on to issues and formula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on of decisions. </w:t>
            </w:r>
          </w:p>
          <w:p w14:paraId="0F27E2C3" w14:textId="77777777" w:rsidR="00705539" w:rsidRDefault="009C4EA0" w:rsidP="00705539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Excellent communica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on &amp; person management skills. Knowledge of project management and finance is useful but not essen</w:t>
            </w:r>
            <w:r w:rsidR="00705539"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al. </w:t>
            </w:r>
          </w:p>
          <w:p w14:paraId="5DDA8B92" w14:textId="412BEB60" w:rsidR="00705539" w:rsidRDefault="00705539" w:rsidP="00705539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Calibri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Tact and pa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ence </w:t>
            </w:r>
          </w:p>
          <w:p w14:paraId="6725B760" w14:textId="5B15CBC3" w:rsidR="00705539" w:rsidRPr="009C4EA0" w:rsidRDefault="00705539" w:rsidP="00705539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Willingness to set aside personal views in mee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ngs in order to ensure the collec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ve view of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 is expressed, both within and outside mee</w:t>
            </w:r>
            <w:r>
              <w:rPr>
                <w:rFonts w:ascii="Helvetica Neue" w:eastAsia="Times New Roman" w:hAnsi="Helvetica Neue" w:cs="Calibri"/>
                <w:sz w:val="22"/>
                <w:szCs w:val="22"/>
              </w:rPr>
              <w:t>ti</w:t>
            </w: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ngs. </w:t>
            </w:r>
          </w:p>
          <w:p w14:paraId="68072B5B" w14:textId="0864A9B8" w:rsidR="00705539" w:rsidRPr="009C4EA0" w:rsidRDefault="00705539" w:rsidP="00705539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 xml:space="preserve">Understanding that any public statements, whether internally or externally, will be viewed as a statement of </w:t>
            </w:r>
            <w:proofErr w:type="spellStart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GPEx</w:t>
            </w:r>
            <w:proofErr w:type="spellEnd"/>
            <w:r w:rsidRPr="009C4EA0">
              <w:rPr>
                <w:rFonts w:ascii="Helvetica Neue" w:eastAsia="Times New Roman" w:hAnsi="Helvetica Neue" w:cs="Calibri"/>
                <w:sz w:val="22"/>
                <w:szCs w:val="22"/>
              </w:rPr>
              <w:t>.</w:t>
            </w:r>
          </w:p>
          <w:p w14:paraId="229BB5CA" w14:textId="5810F4CB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</w:p>
        </w:tc>
      </w:tr>
    </w:tbl>
    <w:p w14:paraId="0A645198" w14:textId="77777777" w:rsidR="009C4EA0" w:rsidRPr="009C4EA0" w:rsidRDefault="009C4EA0" w:rsidP="00BB7065">
      <w:pPr>
        <w:ind w:left="142" w:right="231"/>
        <w:rPr>
          <w:rFonts w:ascii="Helvetica Neue" w:eastAsia="Times New Roman" w:hAnsi="Helvetica Neue" w:cs="Times New Roman"/>
          <w:vanish/>
          <w:sz w:val="22"/>
          <w:szCs w:val="22"/>
        </w:rPr>
      </w:pP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6219"/>
      </w:tblGrid>
      <w:tr w:rsidR="009C4EA0" w:rsidRPr="009C4EA0" w14:paraId="1C3661C5" w14:textId="77777777" w:rsidTr="00705539">
        <w:tc>
          <w:tcPr>
            <w:tcW w:w="9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14:paraId="0B5A247C" w14:textId="77777777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 xml:space="preserve">JOB description review </w:t>
            </w:r>
          </w:p>
        </w:tc>
      </w:tr>
      <w:tr w:rsidR="009C4EA0" w:rsidRPr="009C4EA0" w14:paraId="6C0D146E" w14:textId="77777777" w:rsidTr="00705539">
        <w:tc>
          <w:tcPr>
            <w:tcW w:w="9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1894C" w14:textId="77777777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This job description is reviewed in advance of each postal ballot. </w:t>
            </w:r>
          </w:p>
        </w:tc>
      </w:tr>
      <w:tr w:rsidR="009C4EA0" w:rsidRPr="009C4EA0" w14:paraId="0AF59A46" w14:textId="77777777" w:rsidTr="007055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FF"/>
            </w:tcBorders>
            <w:shd w:val="clear" w:color="auto" w:fill="99FF66"/>
            <w:vAlign w:val="center"/>
            <w:hideMark/>
          </w:tcPr>
          <w:p w14:paraId="4CD5A87C" w14:textId="77777777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 xml:space="preserve">Last Review Date: 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F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D85DF" w14:textId="77777777" w:rsidR="009C4EA0" w:rsidRPr="009C4EA0" w:rsidRDefault="009C4EA0" w:rsidP="00BB7065">
            <w:pPr>
              <w:spacing w:before="100" w:beforeAutospacing="1" w:after="100" w:afterAutospacing="1"/>
              <w:ind w:left="142" w:right="231"/>
              <w:rPr>
                <w:rFonts w:ascii="Helvetica Neue" w:eastAsia="Times New Roman" w:hAnsi="Helvetica Neue" w:cs="Times New Roman"/>
                <w:sz w:val="22"/>
                <w:szCs w:val="22"/>
              </w:rPr>
            </w:pPr>
            <w:r w:rsidRPr="009C4EA0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25/05/2016 </w:t>
            </w:r>
          </w:p>
        </w:tc>
      </w:tr>
    </w:tbl>
    <w:p w14:paraId="115C2D82" w14:textId="77777777" w:rsidR="00CD6579" w:rsidRDefault="0023614C" w:rsidP="00BB7065">
      <w:pPr>
        <w:ind w:right="231"/>
      </w:pPr>
    </w:p>
    <w:sectPr w:rsidR="00CD6579" w:rsidSect="00CE0A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F3E3" w14:textId="77777777" w:rsidR="0023614C" w:rsidRDefault="0023614C" w:rsidP="00705539">
      <w:r>
        <w:separator/>
      </w:r>
    </w:p>
  </w:endnote>
  <w:endnote w:type="continuationSeparator" w:id="0">
    <w:p w14:paraId="5F800ADC" w14:textId="77777777" w:rsidR="0023614C" w:rsidRDefault="0023614C" w:rsidP="0070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57894" w14:textId="77777777" w:rsidR="0023614C" w:rsidRDefault="0023614C" w:rsidP="00705539">
      <w:r>
        <w:separator/>
      </w:r>
    </w:p>
  </w:footnote>
  <w:footnote w:type="continuationSeparator" w:id="0">
    <w:p w14:paraId="18F9EB1B" w14:textId="77777777" w:rsidR="0023614C" w:rsidRDefault="0023614C" w:rsidP="0070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00C"/>
    <w:multiLevelType w:val="multilevel"/>
    <w:tmpl w:val="CC56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06765"/>
    <w:multiLevelType w:val="multilevel"/>
    <w:tmpl w:val="AA2A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B392F"/>
    <w:multiLevelType w:val="multilevel"/>
    <w:tmpl w:val="FF84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624BD3"/>
    <w:multiLevelType w:val="multilevel"/>
    <w:tmpl w:val="4290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01548"/>
    <w:multiLevelType w:val="hybridMultilevel"/>
    <w:tmpl w:val="3A1A428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7F7B6722"/>
    <w:multiLevelType w:val="hybridMultilevel"/>
    <w:tmpl w:val="B602EE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A0"/>
    <w:rsid w:val="0023614C"/>
    <w:rsid w:val="00493239"/>
    <w:rsid w:val="00705539"/>
    <w:rsid w:val="009C4EA0"/>
    <w:rsid w:val="00B8109D"/>
    <w:rsid w:val="00BB7065"/>
    <w:rsid w:val="00C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C160"/>
  <w15:chartTrackingRefBased/>
  <w15:docId w15:val="{946702D7-73C0-254E-B528-A41FAA06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E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5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539"/>
  </w:style>
  <w:style w:type="paragraph" w:styleId="Footer">
    <w:name w:val="footer"/>
    <w:basedOn w:val="Normal"/>
    <w:link w:val="FooterChar"/>
    <w:uiPriority w:val="99"/>
    <w:unhideWhenUsed/>
    <w:rsid w:val="00705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2020-05-27T15:46:00Z</dcterms:created>
  <dcterms:modified xsi:type="dcterms:W3CDTF">2020-05-27T16:30:00Z</dcterms:modified>
</cp:coreProperties>
</file>